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sz w:val="36"/>
          <w:szCs w:val="36"/>
        </w:rPr>
      </w:pPr>
      <w:r>
        <w:rPr>
          <w:rFonts w:hint="eastAsia" w:ascii="宋体" w:hAnsi="宋体"/>
          <w:b/>
          <w:sz w:val="36"/>
          <w:szCs w:val="36"/>
        </w:rPr>
        <w:t>2020年安徽省国家地下水监测工程（水利部分）</w:t>
      </w:r>
    </w:p>
    <w:p>
      <w:pPr>
        <w:snapToGrid w:val="0"/>
        <w:spacing w:line="360" w:lineRule="auto"/>
        <w:jc w:val="center"/>
        <w:rPr>
          <w:rFonts w:ascii="宋体" w:hAnsi="宋体"/>
          <w:b/>
          <w:sz w:val="36"/>
          <w:szCs w:val="36"/>
        </w:rPr>
      </w:pPr>
      <w:r>
        <w:rPr>
          <w:rFonts w:hint="eastAsia" w:ascii="宋体" w:hAnsi="宋体"/>
          <w:b/>
          <w:sz w:val="36"/>
          <w:szCs w:val="36"/>
        </w:rPr>
        <w:t>监测系统运行维护和地下水水质监测项目</w:t>
      </w:r>
    </w:p>
    <w:p>
      <w:pPr>
        <w:spacing w:line="360" w:lineRule="auto"/>
        <w:jc w:val="center"/>
        <w:rPr>
          <w:rFonts w:ascii="宋体" w:hAnsi="宋体"/>
          <w:bCs/>
          <w:sz w:val="32"/>
          <w:szCs w:val="32"/>
        </w:rPr>
      </w:pPr>
    </w:p>
    <w:p>
      <w:pPr>
        <w:snapToGrid w:val="0"/>
        <w:spacing w:line="360" w:lineRule="auto"/>
        <w:jc w:val="center"/>
        <w:rPr>
          <w:rFonts w:ascii="宋体" w:hAnsi="宋体"/>
          <w:bCs/>
          <w:sz w:val="32"/>
          <w:szCs w:val="32"/>
        </w:rPr>
      </w:pPr>
    </w:p>
    <w:p>
      <w:pPr>
        <w:snapToGrid w:val="0"/>
        <w:spacing w:line="360" w:lineRule="auto"/>
        <w:jc w:val="center"/>
        <w:rPr>
          <w:rFonts w:ascii="宋体" w:hAnsi="宋体"/>
          <w:bCs/>
          <w:sz w:val="32"/>
          <w:szCs w:val="32"/>
        </w:rPr>
      </w:pPr>
      <w:r>
        <w:rPr>
          <w:rFonts w:hint="eastAsia" w:ascii="宋体" w:hAnsi="宋体"/>
          <w:bCs/>
          <w:sz w:val="32"/>
          <w:szCs w:val="32"/>
        </w:rPr>
        <w:t>招标编号：</w:t>
      </w:r>
      <w:r>
        <w:rPr>
          <w:rFonts w:ascii="宋体" w:hAnsi="宋体"/>
          <w:bCs/>
          <w:sz w:val="32"/>
          <w:szCs w:val="32"/>
        </w:rPr>
        <w:t>AZ20200713-FW0080001</w:t>
      </w:r>
    </w:p>
    <w:p>
      <w:pPr>
        <w:adjustRightInd w:val="0"/>
        <w:snapToGrid w:val="0"/>
        <w:spacing w:line="360" w:lineRule="auto"/>
        <w:ind w:firstLine="480" w:firstLineChars="200"/>
        <w:rPr>
          <w:rFonts w:ascii="宋体" w:hAnsi="宋体"/>
          <w:sz w:val="24"/>
        </w:rPr>
      </w:pPr>
    </w:p>
    <w:p>
      <w:pPr>
        <w:adjustRightInd w:val="0"/>
        <w:snapToGrid w:val="0"/>
        <w:spacing w:line="360" w:lineRule="auto"/>
        <w:jc w:val="center"/>
        <w:rPr>
          <w:rFonts w:hAnsi="宋体"/>
          <w:b/>
          <w:sz w:val="72"/>
          <w:szCs w:val="72"/>
        </w:rPr>
      </w:pPr>
    </w:p>
    <w:p>
      <w:pPr>
        <w:adjustRightInd w:val="0"/>
        <w:snapToGrid w:val="0"/>
        <w:spacing w:line="360" w:lineRule="auto"/>
        <w:jc w:val="center"/>
        <w:rPr>
          <w:b/>
          <w:bCs/>
          <w:sz w:val="36"/>
          <w:szCs w:val="36"/>
        </w:rPr>
      </w:pPr>
      <w:r>
        <w:rPr>
          <w:rFonts w:hAnsi="宋体"/>
          <w:b/>
          <w:sz w:val="72"/>
          <w:szCs w:val="72"/>
        </w:rPr>
        <w:t>招标文件</w:t>
      </w:r>
    </w:p>
    <w:p>
      <w:pPr>
        <w:adjustRightInd w:val="0"/>
        <w:snapToGrid w:val="0"/>
        <w:spacing w:line="360" w:lineRule="auto"/>
        <w:jc w:val="center"/>
        <w:rPr>
          <w:rFonts w:hAnsi="宋体"/>
          <w:b/>
          <w:sz w:val="44"/>
        </w:rPr>
      </w:pPr>
    </w:p>
    <w:p>
      <w:pPr>
        <w:adjustRightInd w:val="0"/>
        <w:snapToGrid w:val="0"/>
        <w:spacing w:line="360" w:lineRule="auto"/>
        <w:rPr>
          <w:rFonts w:hAnsi="宋体"/>
          <w:b/>
          <w:sz w:val="44"/>
        </w:rPr>
      </w:pPr>
    </w:p>
    <w:p>
      <w:pPr>
        <w:spacing w:line="360" w:lineRule="auto"/>
        <w:jc w:val="center"/>
        <w:rPr>
          <w:b/>
          <w:sz w:val="44"/>
        </w:rPr>
      </w:pPr>
    </w:p>
    <w:p>
      <w:pPr>
        <w:spacing w:line="360" w:lineRule="auto"/>
        <w:rPr>
          <w:b/>
          <w:sz w:val="44"/>
        </w:rPr>
      </w:pPr>
    </w:p>
    <w:p>
      <w:pPr>
        <w:spacing w:line="360" w:lineRule="auto"/>
        <w:jc w:val="center"/>
        <w:rPr>
          <w:b/>
          <w:sz w:val="30"/>
          <w:szCs w:val="30"/>
        </w:rPr>
      </w:pPr>
    </w:p>
    <w:p>
      <w:pPr>
        <w:spacing w:line="360" w:lineRule="auto"/>
        <w:ind w:left="3163" w:leftChars="270" w:hanging="2596" w:hangingChars="862"/>
        <w:rPr>
          <w:rFonts w:ascii="宋体" w:hAnsi="宋体"/>
          <w:b/>
          <w:sz w:val="30"/>
          <w:szCs w:val="30"/>
        </w:rPr>
      </w:pPr>
      <w:r>
        <w:rPr>
          <w:rFonts w:ascii="宋体" w:hAnsi="宋体"/>
          <w:b/>
          <w:sz w:val="30"/>
          <w:szCs w:val="30"/>
        </w:rPr>
        <w:t>采   购   人：水利部信息中心</w:t>
      </w:r>
    </w:p>
    <w:p>
      <w:pPr>
        <w:spacing w:line="360" w:lineRule="auto"/>
        <w:ind w:left="3749" w:leftChars="270" w:hanging="3182" w:hangingChars="862"/>
        <w:rPr>
          <w:rFonts w:ascii="宋体" w:hAnsi="宋体"/>
          <w:b/>
          <w:sz w:val="30"/>
          <w:szCs w:val="30"/>
        </w:rPr>
      </w:pPr>
      <w:r>
        <w:rPr>
          <w:rFonts w:hint="eastAsia" w:ascii="宋体" w:hAnsi="宋体"/>
          <w:b/>
          <w:spacing w:val="34"/>
          <w:kern w:val="48"/>
          <w:sz w:val="30"/>
          <w:szCs w:val="30"/>
        </w:rPr>
        <w:t>委托采购人：</w:t>
      </w:r>
      <w:r>
        <w:rPr>
          <w:rFonts w:hint="eastAsia" w:ascii="宋体" w:hAnsi="宋体"/>
          <w:b/>
          <w:spacing w:val="23"/>
          <w:kern w:val="48"/>
          <w:sz w:val="30"/>
          <w:szCs w:val="30"/>
        </w:rPr>
        <w:t>安徽省水文局</w:t>
      </w:r>
    </w:p>
    <w:p>
      <w:pPr>
        <w:spacing w:line="360" w:lineRule="auto"/>
        <w:rPr>
          <w:rFonts w:ascii="宋体" w:hAnsi="宋体"/>
          <w:b/>
          <w:sz w:val="36"/>
          <w:szCs w:val="36"/>
        </w:rPr>
      </w:pPr>
      <w:r>
        <w:rPr>
          <w:rFonts w:ascii="宋体" w:hAnsi="宋体"/>
          <w:b/>
          <w:sz w:val="30"/>
          <w:szCs w:val="30"/>
        </w:rPr>
        <w:t xml:space="preserve">    采购代理机构：</w:t>
      </w:r>
      <w:r>
        <w:rPr>
          <w:rFonts w:hint="eastAsia" w:ascii="宋体" w:hAnsi="宋体"/>
          <w:b/>
          <w:sz w:val="30"/>
          <w:szCs w:val="30"/>
        </w:rPr>
        <w:t>安徽安兆工程技术咨询服务有限公司</w:t>
      </w:r>
    </w:p>
    <w:p>
      <w:pPr>
        <w:spacing w:line="360" w:lineRule="auto"/>
        <w:jc w:val="center"/>
        <w:rPr>
          <w:rFonts w:ascii="宋体" w:hAnsi="宋体"/>
          <w:b/>
          <w:sz w:val="36"/>
          <w:szCs w:val="36"/>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b/>
          <w:sz w:val="36"/>
          <w:szCs w:val="36"/>
        </w:rPr>
        <w:t>二○二○年七月</w:t>
      </w:r>
    </w:p>
    <w:p>
      <w:pPr>
        <w:adjustRightInd w:val="0"/>
        <w:snapToGrid w:val="0"/>
        <w:spacing w:line="360" w:lineRule="auto"/>
        <w:rPr>
          <w:rFonts w:ascii="宋体" w:hAnsi="宋体"/>
          <w:color w:val="000000" w:themeColor="text1"/>
          <w:sz w:val="24"/>
        </w:rPr>
      </w:pPr>
    </w:p>
    <w:p>
      <w:pPr>
        <w:adjustRightInd w:val="0"/>
        <w:snapToGrid w:val="0"/>
        <w:spacing w:line="360" w:lineRule="auto"/>
        <w:jc w:val="center"/>
        <w:rPr>
          <w:b/>
          <w:color w:val="000000" w:themeColor="text1"/>
          <w:sz w:val="28"/>
          <w:szCs w:val="28"/>
        </w:rPr>
      </w:pPr>
      <w:r>
        <w:rPr>
          <w:rFonts w:hint="eastAsia"/>
          <w:b/>
          <w:color w:val="000000" w:themeColor="text1"/>
          <w:sz w:val="28"/>
          <w:szCs w:val="28"/>
        </w:rPr>
        <w:t>目录</w:t>
      </w:r>
    </w:p>
    <w:p>
      <w:pPr>
        <w:pStyle w:val="28"/>
        <w:tabs>
          <w:tab w:val="right" w:leader="dot" w:pos="9403"/>
        </w:tabs>
        <w:rPr>
          <w:color w:val="000000" w:themeColor="text1"/>
          <w:sz w:val="28"/>
          <w:szCs w:val="28"/>
        </w:rPr>
      </w:pPr>
    </w:p>
    <w:p>
      <w:pPr>
        <w:pStyle w:val="28"/>
        <w:tabs>
          <w:tab w:val="right" w:leader="dot" w:pos="9403"/>
        </w:tabs>
        <w:rPr>
          <w:rStyle w:val="47"/>
          <w:rFonts w:ascii="宋体" w:hAnsi="宋体"/>
          <w:color w:val="auto"/>
          <w:sz w:val="28"/>
          <w:szCs w:val="28"/>
        </w:rPr>
      </w:pPr>
      <w:r>
        <w:rPr>
          <w:color w:val="000000" w:themeColor="text1"/>
          <w:sz w:val="28"/>
          <w:szCs w:val="28"/>
        </w:rPr>
        <w:fldChar w:fldCharType="begin"/>
      </w:r>
      <w:r>
        <w:rPr>
          <w:color w:val="000000" w:themeColor="text1"/>
          <w:sz w:val="28"/>
          <w:szCs w:val="28"/>
        </w:rPr>
        <w:instrText xml:space="preserve"> TOC \o "1-3" \h \z \u </w:instrText>
      </w:r>
      <w:r>
        <w:rPr>
          <w:color w:val="000000" w:themeColor="text1"/>
          <w:sz w:val="28"/>
          <w:szCs w:val="28"/>
        </w:rPr>
        <w:fldChar w:fldCharType="separate"/>
      </w:r>
      <w:r>
        <w:fldChar w:fldCharType="begin"/>
      </w:r>
      <w:r>
        <w:instrText xml:space="preserve"> HYPERLINK \l "_Toc42206677" </w:instrText>
      </w:r>
      <w:r>
        <w:fldChar w:fldCharType="separate"/>
      </w:r>
      <w:r>
        <w:rPr>
          <w:rStyle w:val="47"/>
          <w:rFonts w:ascii="宋体" w:hAnsi="宋体"/>
          <w:color w:val="auto"/>
          <w:sz w:val="28"/>
          <w:szCs w:val="28"/>
        </w:rPr>
        <w:t>前附表</w:t>
      </w:r>
      <w:r>
        <w:rPr>
          <w:rStyle w:val="47"/>
          <w:rFonts w:ascii="宋体" w:hAnsi="宋体"/>
          <w:color w:val="auto"/>
          <w:sz w:val="28"/>
          <w:szCs w:val="28"/>
        </w:rPr>
        <w:tab/>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_Toc42206677 \h </w:instrText>
      </w:r>
      <w:r>
        <w:rPr>
          <w:rStyle w:val="47"/>
          <w:rFonts w:ascii="宋体" w:hAnsi="宋体"/>
          <w:color w:val="auto"/>
          <w:sz w:val="28"/>
          <w:szCs w:val="28"/>
        </w:rPr>
        <w:fldChar w:fldCharType="separate"/>
      </w:r>
      <w:r>
        <w:rPr>
          <w:rStyle w:val="47"/>
          <w:rFonts w:ascii="宋体" w:hAnsi="宋体"/>
          <w:color w:val="auto"/>
          <w:sz w:val="28"/>
          <w:szCs w:val="28"/>
        </w:rPr>
        <w:t>1</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tabs>
          <w:tab w:val="right" w:leader="dot" w:pos="9403"/>
        </w:tabs>
        <w:rPr>
          <w:rStyle w:val="47"/>
          <w:rFonts w:ascii="宋体" w:hAnsi="宋体"/>
          <w:color w:val="auto"/>
          <w:sz w:val="28"/>
          <w:szCs w:val="28"/>
        </w:rPr>
      </w:pPr>
      <w:r>
        <w:fldChar w:fldCharType="begin"/>
      </w:r>
      <w:r>
        <w:instrText xml:space="preserve"> HYPERLINK \l "_Toc42206678" </w:instrText>
      </w:r>
      <w:r>
        <w:fldChar w:fldCharType="separate"/>
      </w:r>
      <w:r>
        <w:rPr>
          <w:rStyle w:val="47"/>
          <w:rFonts w:ascii="宋体" w:hAnsi="宋体"/>
          <w:color w:val="auto"/>
          <w:sz w:val="28"/>
          <w:szCs w:val="28"/>
        </w:rPr>
        <w:t>招标文件1：招标公告</w:t>
      </w:r>
      <w:r>
        <w:rPr>
          <w:rStyle w:val="47"/>
          <w:rFonts w:ascii="宋体" w:hAnsi="宋体"/>
          <w:color w:val="auto"/>
          <w:sz w:val="28"/>
          <w:szCs w:val="28"/>
        </w:rPr>
        <w:tab/>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_Toc42206678 \h </w:instrText>
      </w:r>
      <w:r>
        <w:rPr>
          <w:rStyle w:val="47"/>
          <w:rFonts w:ascii="宋体" w:hAnsi="宋体"/>
          <w:color w:val="auto"/>
          <w:sz w:val="28"/>
          <w:szCs w:val="28"/>
        </w:rPr>
        <w:fldChar w:fldCharType="separate"/>
      </w:r>
      <w:r>
        <w:rPr>
          <w:rStyle w:val="47"/>
          <w:rFonts w:ascii="宋体" w:hAnsi="宋体"/>
          <w:color w:val="auto"/>
          <w:sz w:val="28"/>
          <w:szCs w:val="28"/>
        </w:rPr>
        <w:t>5</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tabs>
          <w:tab w:val="right" w:leader="dot" w:pos="9403"/>
        </w:tabs>
        <w:rPr>
          <w:rStyle w:val="47"/>
          <w:rFonts w:ascii="宋体" w:hAnsi="宋体"/>
          <w:color w:val="auto"/>
          <w:sz w:val="28"/>
          <w:szCs w:val="28"/>
        </w:rPr>
      </w:pPr>
      <w:r>
        <w:fldChar w:fldCharType="begin"/>
      </w:r>
      <w:r>
        <w:instrText xml:space="preserve"> HYPERLINK \l "_Toc42206679" </w:instrText>
      </w:r>
      <w:r>
        <w:fldChar w:fldCharType="separate"/>
      </w:r>
      <w:r>
        <w:rPr>
          <w:rStyle w:val="47"/>
          <w:rFonts w:ascii="宋体" w:hAnsi="宋体"/>
          <w:color w:val="auto"/>
          <w:sz w:val="28"/>
          <w:szCs w:val="28"/>
        </w:rPr>
        <w:t>招标文件2：招标项目指南</w:t>
      </w:r>
      <w:r>
        <w:rPr>
          <w:rStyle w:val="47"/>
          <w:rFonts w:ascii="宋体" w:hAnsi="宋体"/>
          <w:color w:val="auto"/>
          <w:sz w:val="28"/>
          <w:szCs w:val="28"/>
        </w:rPr>
        <w:tab/>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_Toc42206679 \h </w:instrText>
      </w:r>
      <w:r>
        <w:rPr>
          <w:rStyle w:val="47"/>
          <w:rFonts w:ascii="宋体" w:hAnsi="宋体"/>
          <w:color w:val="auto"/>
          <w:sz w:val="28"/>
          <w:szCs w:val="28"/>
        </w:rPr>
        <w:fldChar w:fldCharType="separate"/>
      </w:r>
      <w:r>
        <w:rPr>
          <w:rStyle w:val="47"/>
          <w:rFonts w:ascii="宋体" w:hAnsi="宋体"/>
          <w:color w:val="auto"/>
          <w:sz w:val="28"/>
          <w:szCs w:val="28"/>
        </w:rPr>
        <w:t>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"_Toc42206680" </w:instrText>
      </w:r>
      <w:r>
        <w:fldChar w:fldCharType="separate"/>
      </w:r>
      <w:r>
        <w:rPr>
          <w:rStyle w:val="47"/>
          <w:rFonts w:ascii="宋体" w:hAnsi="宋体"/>
          <w:color w:val="auto"/>
          <w:sz w:val="28"/>
          <w:szCs w:val="28"/>
        </w:rPr>
        <w:t>一、招标内容</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_Toc42206680 \h </w:instrText>
      </w:r>
      <w:r>
        <w:rPr>
          <w:rStyle w:val="47"/>
          <w:rFonts w:ascii="宋体" w:hAnsi="宋体"/>
          <w:color w:val="auto"/>
          <w:sz w:val="28"/>
          <w:szCs w:val="28"/>
        </w:rPr>
        <w:fldChar w:fldCharType="separate"/>
      </w:r>
      <w:r>
        <w:rPr>
          <w:rStyle w:val="47"/>
          <w:rFonts w:ascii="宋体" w:hAnsi="宋体"/>
          <w:color w:val="auto"/>
          <w:sz w:val="28"/>
          <w:szCs w:val="28"/>
        </w:rPr>
        <w:t>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"_Toc42206681" </w:instrText>
      </w:r>
      <w:r>
        <w:fldChar w:fldCharType="separate"/>
      </w:r>
      <w:r>
        <w:rPr>
          <w:rStyle w:val="47"/>
          <w:rFonts w:ascii="宋体" w:hAnsi="宋体"/>
          <w:color w:val="auto"/>
          <w:sz w:val="28"/>
          <w:szCs w:val="28"/>
        </w:rPr>
        <w:t>二、目标任务</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_Toc42206681 \h </w:instrText>
      </w:r>
      <w:r>
        <w:rPr>
          <w:rStyle w:val="47"/>
          <w:rFonts w:ascii="宋体" w:hAnsi="宋体"/>
          <w:color w:val="auto"/>
          <w:sz w:val="28"/>
          <w:szCs w:val="28"/>
        </w:rPr>
        <w:fldChar w:fldCharType="separate"/>
      </w:r>
      <w:r>
        <w:rPr>
          <w:rStyle w:val="47"/>
          <w:rFonts w:ascii="宋体" w:hAnsi="宋体"/>
          <w:color w:val="auto"/>
          <w:sz w:val="28"/>
          <w:szCs w:val="28"/>
        </w:rPr>
        <w:t>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"_Toc42206682" </w:instrText>
      </w:r>
      <w:r>
        <w:fldChar w:fldCharType="separate"/>
      </w:r>
      <w:r>
        <w:rPr>
          <w:rStyle w:val="47"/>
          <w:rFonts w:ascii="宋体" w:hAnsi="宋体"/>
          <w:color w:val="auto"/>
          <w:sz w:val="28"/>
          <w:szCs w:val="28"/>
        </w:rPr>
        <w:t>三、总体要求</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_Toc42206682 \h </w:instrText>
      </w:r>
      <w:r>
        <w:rPr>
          <w:rStyle w:val="47"/>
          <w:rFonts w:ascii="宋体" w:hAnsi="宋体"/>
          <w:color w:val="auto"/>
          <w:sz w:val="28"/>
          <w:szCs w:val="28"/>
        </w:rPr>
        <w:fldChar w:fldCharType="separate"/>
      </w:r>
      <w:r>
        <w:rPr>
          <w:rStyle w:val="47"/>
          <w:rFonts w:ascii="宋体" w:hAnsi="宋体"/>
          <w:color w:val="auto"/>
          <w:sz w:val="28"/>
          <w:szCs w:val="28"/>
        </w:rPr>
        <w:t>10</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"_Toc42206683" </w:instrText>
      </w:r>
      <w:r>
        <w:fldChar w:fldCharType="separate"/>
      </w:r>
      <w:r>
        <w:rPr>
          <w:rStyle w:val="47"/>
          <w:rFonts w:ascii="宋体" w:hAnsi="宋体"/>
          <w:color w:val="auto"/>
          <w:sz w:val="28"/>
          <w:szCs w:val="28"/>
        </w:rPr>
        <w:t>四、具体要求</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_Toc42206683 \h </w:instrText>
      </w:r>
      <w:r>
        <w:rPr>
          <w:rStyle w:val="47"/>
          <w:rFonts w:ascii="宋体" w:hAnsi="宋体"/>
          <w:color w:val="auto"/>
          <w:sz w:val="28"/>
          <w:szCs w:val="28"/>
        </w:rPr>
        <w:fldChar w:fldCharType="separate"/>
      </w:r>
      <w:r>
        <w:rPr>
          <w:rStyle w:val="47"/>
          <w:rFonts w:ascii="宋体" w:hAnsi="宋体"/>
          <w:color w:val="auto"/>
          <w:sz w:val="28"/>
          <w:szCs w:val="28"/>
        </w:rPr>
        <w:t>10</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"_Toc42206684" </w:instrText>
      </w:r>
      <w:r>
        <w:fldChar w:fldCharType="separate"/>
      </w:r>
      <w:r>
        <w:rPr>
          <w:rStyle w:val="47"/>
          <w:rFonts w:ascii="宋体" w:hAnsi="宋体"/>
          <w:color w:val="auto"/>
          <w:sz w:val="28"/>
          <w:szCs w:val="28"/>
        </w:rPr>
        <w:t>五、提交成果</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_Toc42206684 \h </w:instrText>
      </w:r>
      <w:r>
        <w:rPr>
          <w:rStyle w:val="47"/>
          <w:rFonts w:ascii="宋体" w:hAnsi="宋体"/>
          <w:color w:val="auto"/>
          <w:sz w:val="28"/>
          <w:szCs w:val="28"/>
        </w:rPr>
        <w:fldChar w:fldCharType="separate"/>
      </w:r>
      <w:r>
        <w:rPr>
          <w:rStyle w:val="47"/>
          <w:rFonts w:ascii="宋体" w:hAnsi="宋体"/>
          <w:color w:val="auto"/>
          <w:sz w:val="28"/>
          <w:szCs w:val="28"/>
        </w:rPr>
        <w:t>12</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"_Toc42206685" </w:instrText>
      </w:r>
      <w:r>
        <w:fldChar w:fldCharType="separate"/>
      </w:r>
      <w:r>
        <w:rPr>
          <w:rStyle w:val="47"/>
          <w:rFonts w:ascii="宋体" w:hAnsi="宋体"/>
          <w:color w:val="auto"/>
          <w:sz w:val="28"/>
          <w:szCs w:val="28"/>
        </w:rPr>
        <w:t>六、项目实施进度要求</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_Toc42206685 \h </w:instrText>
      </w:r>
      <w:r>
        <w:rPr>
          <w:rStyle w:val="47"/>
          <w:rFonts w:ascii="宋体" w:hAnsi="宋体"/>
          <w:color w:val="auto"/>
          <w:sz w:val="28"/>
          <w:szCs w:val="28"/>
        </w:rPr>
        <w:fldChar w:fldCharType="separate"/>
      </w:r>
      <w:r>
        <w:rPr>
          <w:rStyle w:val="47"/>
          <w:rFonts w:ascii="宋体" w:hAnsi="宋体"/>
          <w:color w:val="auto"/>
          <w:sz w:val="28"/>
          <w:szCs w:val="28"/>
        </w:rPr>
        <w:t>13</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"_Toc42206686" </w:instrText>
      </w:r>
      <w:r>
        <w:fldChar w:fldCharType="separate"/>
      </w:r>
      <w:r>
        <w:rPr>
          <w:rStyle w:val="47"/>
          <w:rFonts w:ascii="宋体" w:hAnsi="宋体"/>
          <w:color w:val="auto"/>
          <w:sz w:val="28"/>
          <w:szCs w:val="28"/>
        </w:rPr>
        <w:t>七、报价与测算依据</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_Toc42206686 \h </w:instrText>
      </w:r>
      <w:r>
        <w:rPr>
          <w:rStyle w:val="47"/>
          <w:rFonts w:ascii="宋体" w:hAnsi="宋体"/>
          <w:color w:val="auto"/>
          <w:sz w:val="28"/>
          <w:szCs w:val="28"/>
        </w:rPr>
        <w:fldChar w:fldCharType="separate"/>
      </w:r>
      <w:r>
        <w:rPr>
          <w:rStyle w:val="47"/>
          <w:rFonts w:ascii="宋体" w:hAnsi="宋体"/>
          <w:color w:val="auto"/>
          <w:sz w:val="28"/>
          <w:szCs w:val="28"/>
        </w:rPr>
        <w:t>13</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"_Toc42206687" </w:instrText>
      </w:r>
      <w:r>
        <w:fldChar w:fldCharType="separate"/>
      </w:r>
      <w:r>
        <w:rPr>
          <w:rStyle w:val="47"/>
          <w:rFonts w:ascii="宋体" w:hAnsi="宋体"/>
          <w:color w:val="auto"/>
          <w:sz w:val="28"/>
          <w:szCs w:val="28"/>
        </w:rPr>
        <w:t>八、投标文件内容要求</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_Toc42206687 \h </w:instrText>
      </w:r>
      <w:r>
        <w:rPr>
          <w:rStyle w:val="47"/>
          <w:rFonts w:ascii="宋体" w:hAnsi="宋体"/>
          <w:color w:val="auto"/>
          <w:sz w:val="28"/>
          <w:szCs w:val="28"/>
        </w:rPr>
        <w:fldChar w:fldCharType="separate"/>
      </w:r>
      <w:r>
        <w:rPr>
          <w:rStyle w:val="47"/>
          <w:rFonts w:ascii="宋体" w:hAnsi="宋体"/>
          <w:color w:val="auto"/>
          <w:sz w:val="28"/>
          <w:szCs w:val="28"/>
        </w:rPr>
        <w:t>13</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tabs>
          <w:tab w:val="right" w:leader="dot" w:pos="9403"/>
        </w:tabs>
        <w:rPr>
          <w:rStyle w:val="47"/>
          <w:rFonts w:ascii="宋体" w:hAnsi="宋体"/>
          <w:color w:val="auto"/>
          <w:sz w:val="28"/>
          <w:szCs w:val="28"/>
        </w:rPr>
      </w:pPr>
      <w:r>
        <w:fldChar w:fldCharType="begin"/>
      </w:r>
      <w:r>
        <w:instrText xml:space="preserve"> HYPERLINK \l "_Toc42206688" </w:instrText>
      </w:r>
      <w:r>
        <w:fldChar w:fldCharType="separate"/>
      </w:r>
      <w:r>
        <w:rPr>
          <w:rStyle w:val="47"/>
          <w:rFonts w:ascii="宋体" w:hAnsi="宋体"/>
          <w:color w:val="auto"/>
          <w:sz w:val="28"/>
          <w:szCs w:val="28"/>
        </w:rPr>
        <w:t>招标文件3：投标人须知</w:t>
      </w:r>
      <w:r>
        <w:rPr>
          <w:rStyle w:val="47"/>
          <w:rFonts w:ascii="宋体" w:hAnsi="宋体"/>
          <w:color w:val="auto"/>
          <w:sz w:val="28"/>
          <w:szCs w:val="28"/>
        </w:rPr>
        <w:tab/>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_Toc42206688 \h </w:instrText>
      </w:r>
      <w:r>
        <w:rPr>
          <w:rStyle w:val="47"/>
          <w:rFonts w:ascii="宋体" w:hAnsi="宋体"/>
          <w:color w:val="auto"/>
          <w:sz w:val="28"/>
          <w:szCs w:val="28"/>
        </w:rPr>
        <w:fldChar w:fldCharType="separate"/>
      </w:r>
      <w:r>
        <w:rPr>
          <w:rStyle w:val="47"/>
          <w:rFonts w:ascii="宋体" w:hAnsi="宋体"/>
          <w:color w:val="auto"/>
          <w:sz w:val="28"/>
          <w:szCs w:val="28"/>
        </w:rPr>
        <w:t>14</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"_Toc42206689" </w:instrText>
      </w:r>
      <w:r>
        <w:fldChar w:fldCharType="separate"/>
      </w:r>
      <w:r>
        <w:rPr>
          <w:rStyle w:val="47"/>
          <w:rFonts w:ascii="宋体" w:hAnsi="宋体"/>
          <w:color w:val="auto"/>
          <w:sz w:val="28"/>
          <w:szCs w:val="28"/>
        </w:rPr>
        <w:t>一、总则</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_Toc42206689 \h </w:instrText>
      </w:r>
      <w:r>
        <w:rPr>
          <w:rStyle w:val="47"/>
          <w:rFonts w:ascii="宋体" w:hAnsi="宋体"/>
          <w:color w:val="auto"/>
          <w:sz w:val="28"/>
          <w:szCs w:val="28"/>
        </w:rPr>
        <w:fldChar w:fldCharType="separate"/>
      </w:r>
      <w:r>
        <w:rPr>
          <w:rStyle w:val="47"/>
          <w:rFonts w:ascii="宋体" w:hAnsi="宋体"/>
          <w:color w:val="auto"/>
          <w:sz w:val="28"/>
          <w:szCs w:val="28"/>
        </w:rPr>
        <w:t>14</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"_Toc42206690" </w:instrText>
      </w:r>
      <w:r>
        <w:fldChar w:fldCharType="separate"/>
      </w:r>
      <w:r>
        <w:rPr>
          <w:rStyle w:val="47"/>
          <w:rFonts w:ascii="宋体" w:hAnsi="宋体"/>
          <w:color w:val="auto"/>
          <w:sz w:val="28"/>
          <w:szCs w:val="28"/>
        </w:rPr>
        <w:t>二、招标文件</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_Toc42206690 \h </w:instrText>
      </w:r>
      <w:r>
        <w:rPr>
          <w:rStyle w:val="47"/>
          <w:rFonts w:ascii="宋体" w:hAnsi="宋体"/>
          <w:color w:val="auto"/>
          <w:sz w:val="28"/>
          <w:szCs w:val="28"/>
        </w:rPr>
        <w:fldChar w:fldCharType="separate"/>
      </w:r>
      <w:r>
        <w:rPr>
          <w:rStyle w:val="47"/>
          <w:rFonts w:ascii="宋体" w:hAnsi="宋体"/>
          <w:color w:val="auto"/>
          <w:sz w:val="28"/>
          <w:szCs w:val="28"/>
        </w:rPr>
        <w:t>15</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"_Toc42206691" </w:instrText>
      </w:r>
      <w:r>
        <w:fldChar w:fldCharType="separate"/>
      </w:r>
      <w:r>
        <w:rPr>
          <w:rStyle w:val="47"/>
          <w:rFonts w:ascii="宋体" w:hAnsi="宋体"/>
          <w:color w:val="auto"/>
          <w:sz w:val="28"/>
          <w:szCs w:val="28"/>
        </w:rPr>
        <w:t>三、投标文件的编制</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_Toc42206691 \h </w:instrText>
      </w:r>
      <w:r>
        <w:rPr>
          <w:rStyle w:val="47"/>
          <w:rFonts w:ascii="宋体" w:hAnsi="宋体"/>
          <w:color w:val="auto"/>
          <w:sz w:val="28"/>
          <w:szCs w:val="28"/>
        </w:rPr>
        <w:fldChar w:fldCharType="separate"/>
      </w:r>
      <w:r>
        <w:rPr>
          <w:rStyle w:val="47"/>
          <w:rFonts w:ascii="宋体" w:hAnsi="宋体"/>
          <w:color w:val="auto"/>
          <w:sz w:val="28"/>
          <w:szCs w:val="28"/>
        </w:rPr>
        <w:t>16</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"_Toc42206692" </w:instrText>
      </w:r>
      <w:r>
        <w:fldChar w:fldCharType="separate"/>
      </w:r>
      <w:r>
        <w:rPr>
          <w:rStyle w:val="47"/>
          <w:rFonts w:ascii="宋体" w:hAnsi="宋体"/>
          <w:color w:val="auto"/>
          <w:sz w:val="28"/>
          <w:szCs w:val="28"/>
        </w:rPr>
        <w:t>四、投标文件的递交</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_Toc42206692 \h </w:instrText>
      </w:r>
      <w:r>
        <w:rPr>
          <w:rStyle w:val="47"/>
          <w:rFonts w:ascii="宋体" w:hAnsi="宋体"/>
          <w:color w:val="auto"/>
          <w:sz w:val="28"/>
          <w:szCs w:val="28"/>
        </w:rPr>
        <w:fldChar w:fldCharType="separate"/>
      </w:r>
      <w:r>
        <w:rPr>
          <w:rStyle w:val="47"/>
          <w:rFonts w:ascii="宋体" w:hAnsi="宋体"/>
          <w:color w:val="auto"/>
          <w:sz w:val="28"/>
          <w:szCs w:val="28"/>
        </w:rPr>
        <w:t>20</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"_Toc42206693" </w:instrText>
      </w:r>
      <w:r>
        <w:fldChar w:fldCharType="separate"/>
      </w:r>
      <w:r>
        <w:rPr>
          <w:rStyle w:val="47"/>
          <w:rFonts w:ascii="宋体" w:hAnsi="宋体"/>
          <w:color w:val="auto"/>
          <w:sz w:val="28"/>
          <w:szCs w:val="28"/>
        </w:rPr>
        <w:t>五、标书投递</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_Toc42206693 \h </w:instrText>
      </w:r>
      <w:r>
        <w:rPr>
          <w:rStyle w:val="47"/>
          <w:rFonts w:ascii="宋体" w:hAnsi="宋体"/>
          <w:color w:val="auto"/>
          <w:sz w:val="28"/>
          <w:szCs w:val="28"/>
        </w:rPr>
        <w:fldChar w:fldCharType="separate"/>
      </w:r>
      <w:r>
        <w:rPr>
          <w:rStyle w:val="47"/>
          <w:rFonts w:ascii="宋体" w:hAnsi="宋体"/>
          <w:color w:val="auto"/>
          <w:sz w:val="28"/>
          <w:szCs w:val="28"/>
        </w:rPr>
        <w:t>21</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"_Toc42206694" </w:instrText>
      </w:r>
      <w:r>
        <w:fldChar w:fldCharType="separate"/>
      </w:r>
      <w:r>
        <w:rPr>
          <w:rStyle w:val="47"/>
          <w:rFonts w:ascii="宋体" w:hAnsi="宋体"/>
          <w:color w:val="auto"/>
          <w:sz w:val="28"/>
          <w:szCs w:val="28"/>
        </w:rPr>
        <w:t>六、开标与评标</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_Toc42206694 \h </w:instrText>
      </w:r>
      <w:r>
        <w:rPr>
          <w:rStyle w:val="47"/>
          <w:rFonts w:ascii="宋体" w:hAnsi="宋体"/>
          <w:color w:val="auto"/>
          <w:sz w:val="28"/>
          <w:szCs w:val="28"/>
        </w:rPr>
        <w:fldChar w:fldCharType="separate"/>
      </w:r>
      <w:r>
        <w:rPr>
          <w:rStyle w:val="47"/>
          <w:rFonts w:ascii="宋体" w:hAnsi="宋体"/>
          <w:color w:val="auto"/>
          <w:sz w:val="28"/>
          <w:szCs w:val="28"/>
        </w:rPr>
        <w:t>21</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"_Toc42206695" </w:instrText>
      </w:r>
      <w:r>
        <w:fldChar w:fldCharType="separate"/>
      </w:r>
      <w:r>
        <w:rPr>
          <w:rStyle w:val="47"/>
          <w:rFonts w:ascii="宋体" w:hAnsi="宋体"/>
          <w:color w:val="auto"/>
          <w:sz w:val="28"/>
          <w:szCs w:val="28"/>
        </w:rPr>
        <w:t>七、定标与授予合同</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_Toc42206695 \h </w:instrText>
      </w:r>
      <w:r>
        <w:rPr>
          <w:rStyle w:val="47"/>
          <w:rFonts w:ascii="宋体" w:hAnsi="宋体"/>
          <w:color w:val="auto"/>
          <w:sz w:val="28"/>
          <w:szCs w:val="28"/>
        </w:rPr>
        <w:fldChar w:fldCharType="separate"/>
      </w:r>
      <w:r>
        <w:rPr>
          <w:rStyle w:val="47"/>
          <w:rFonts w:ascii="宋体" w:hAnsi="宋体"/>
          <w:color w:val="auto"/>
          <w:sz w:val="28"/>
          <w:szCs w:val="28"/>
        </w:rPr>
        <w:t>27</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tabs>
          <w:tab w:val="right" w:leader="dot" w:pos="9403"/>
        </w:tabs>
        <w:rPr>
          <w:rStyle w:val="47"/>
          <w:rFonts w:ascii="宋体" w:hAnsi="宋体"/>
          <w:color w:val="auto"/>
          <w:sz w:val="28"/>
          <w:szCs w:val="28"/>
        </w:rPr>
      </w:pPr>
      <w:r>
        <w:fldChar w:fldCharType="begin"/>
      </w:r>
      <w:r>
        <w:instrText xml:space="preserve"> HYPERLINK \l "_Toc42206696" </w:instrText>
      </w:r>
      <w:r>
        <w:fldChar w:fldCharType="separate"/>
      </w:r>
      <w:r>
        <w:rPr>
          <w:rStyle w:val="47"/>
          <w:rFonts w:ascii="宋体" w:hAnsi="宋体"/>
          <w:color w:val="auto"/>
          <w:sz w:val="28"/>
          <w:szCs w:val="28"/>
        </w:rPr>
        <w:t>招标文件4:投标文件参考格式</w:t>
      </w:r>
      <w:r>
        <w:rPr>
          <w:rStyle w:val="47"/>
          <w:rFonts w:ascii="宋体" w:hAnsi="宋体"/>
          <w:color w:val="auto"/>
          <w:sz w:val="28"/>
          <w:szCs w:val="28"/>
        </w:rPr>
        <w:tab/>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_Toc42206696 \h </w:instrText>
      </w:r>
      <w:r>
        <w:rPr>
          <w:rStyle w:val="47"/>
          <w:rFonts w:ascii="宋体" w:hAnsi="宋体"/>
          <w:color w:val="auto"/>
          <w:sz w:val="28"/>
          <w:szCs w:val="28"/>
        </w:rPr>
        <w:fldChar w:fldCharType="separate"/>
      </w:r>
      <w:r>
        <w:rPr>
          <w:rStyle w:val="47"/>
          <w:rFonts w:ascii="宋体" w:hAnsi="宋体"/>
          <w:color w:val="auto"/>
          <w:sz w:val="28"/>
          <w:szCs w:val="28"/>
        </w:rPr>
        <w:t>29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"_Toc42206697" </w:instrText>
      </w:r>
      <w:r>
        <w:fldChar w:fldCharType="separate"/>
      </w:r>
      <w:r>
        <w:rPr>
          <w:rStyle w:val="47"/>
          <w:rFonts w:ascii="宋体" w:hAnsi="宋体"/>
          <w:color w:val="auto"/>
          <w:sz w:val="28"/>
          <w:szCs w:val="28"/>
        </w:rPr>
        <w:t>商 务 卷</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_Toc42206697 \h </w:instrText>
      </w:r>
      <w:r>
        <w:rPr>
          <w:rStyle w:val="47"/>
          <w:rFonts w:ascii="宋体" w:hAnsi="宋体"/>
          <w:color w:val="auto"/>
          <w:sz w:val="28"/>
          <w:szCs w:val="28"/>
        </w:rPr>
        <w:fldChar w:fldCharType="separate"/>
      </w:r>
      <w:r>
        <w:rPr>
          <w:rStyle w:val="47"/>
          <w:rFonts w:ascii="宋体" w:hAnsi="宋体"/>
          <w:color w:val="auto"/>
          <w:sz w:val="28"/>
          <w:szCs w:val="28"/>
        </w:rPr>
        <w:t>29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"_Toc42206698" </w:instrText>
      </w:r>
      <w:r>
        <w:fldChar w:fldCharType="separate"/>
      </w:r>
      <w:r>
        <w:rPr>
          <w:rStyle w:val="47"/>
          <w:rFonts w:ascii="宋体" w:hAnsi="宋体"/>
          <w:color w:val="auto"/>
          <w:sz w:val="28"/>
          <w:szCs w:val="28"/>
        </w:rPr>
        <w:t>一、投标报价表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_Toc42206698 \h </w:instrText>
      </w:r>
      <w:r>
        <w:rPr>
          <w:rStyle w:val="47"/>
          <w:rFonts w:ascii="宋体" w:hAnsi="宋体"/>
          <w:color w:val="auto"/>
          <w:sz w:val="28"/>
          <w:szCs w:val="28"/>
        </w:rPr>
        <w:fldChar w:fldCharType="separate"/>
      </w:r>
      <w:r>
        <w:rPr>
          <w:rStyle w:val="47"/>
          <w:rFonts w:ascii="宋体" w:hAnsi="宋体"/>
          <w:color w:val="auto"/>
          <w:sz w:val="28"/>
          <w:szCs w:val="28"/>
        </w:rPr>
        <w:t>30</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"_Toc42206699" </w:instrText>
      </w:r>
      <w:r>
        <w:fldChar w:fldCharType="separate"/>
      </w:r>
      <w:r>
        <w:rPr>
          <w:rStyle w:val="47"/>
          <w:rFonts w:ascii="宋体" w:hAnsi="宋体"/>
          <w:color w:val="auto"/>
          <w:sz w:val="28"/>
          <w:szCs w:val="28"/>
        </w:rPr>
        <w:t>二、分项报价表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_Toc42206699 \h </w:instrText>
      </w:r>
      <w:r>
        <w:rPr>
          <w:rStyle w:val="47"/>
          <w:rFonts w:ascii="宋体" w:hAnsi="宋体"/>
          <w:color w:val="auto"/>
          <w:sz w:val="28"/>
          <w:szCs w:val="28"/>
        </w:rPr>
        <w:fldChar w:fldCharType="separate"/>
      </w:r>
      <w:r>
        <w:rPr>
          <w:rStyle w:val="47"/>
          <w:rFonts w:ascii="宋体" w:hAnsi="宋体"/>
          <w:color w:val="auto"/>
          <w:sz w:val="28"/>
          <w:szCs w:val="28"/>
        </w:rPr>
        <w:t>31</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"_Toc42206700" </w:instrText>
      </w:r>
      <w:r>
        <w:fldChar w:fldCharType="separate"/>
      </w:r>
      <w:r>
        <w:rPr>
          <w:rStyle w:val="47"/>
          <w:rFonts w:ascii="宋体" w:hAnsi="宋体"/>
          <w:color w:val="auto"/>
          <w:sz w:val="28"/>
          <w:szCs w:val="28"/>
        </w:rPr>
        <w:t>三、投标函</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_Toc42206700 \h </w:instrText>
      </w:r>
      <w:r>
        <w:rPr>
          <w:rStyle w:val="47"/>
          <w:rFonts w:ascii="宋体" w:hAnsi="宋体"/>
          <w:color w:val="auto"/>
          <w:sz w:val="28"/>
          <w:szCs w:val="28"/>
        </w:rPr>
        <w:fldChar w:fldCharType="separate"/>
      </w:r>
      <w:r>
        <w:rPr>
          <w:rStyle w:val="47"/>
          <w:rFonts w:ascii="宋体" w:hAnsi="宋体"/>
          <w:color w:val="auto"/>
          <w:sz w:val="28"/>
          <w:szCs w:val="28"/>
        </w:rPr>
        <w:t>32</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"_Toc42206701" </w:instrText>
      </w:r>
      <w:r>
        <w:fldChar w:fldCharType="separate"/>
      </w:r>
      <w:r>
        <w:rPr>
          <w:rStyle w:val="47"/>
          <w:rFonts w:ascii="宋体" w:hAnsi="宋体"/>
          <w:color w:val="auto"/>
          <w:sz w:val="28"/>
          <w:szCs w:val="28"/>
        </w:rPr>
        <w:t>四、授权委托书</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_Toc42206701 \h </w:instrText>
      </w:r>
      <w:r>
        <w:rPr>
          <w:rStyle w:val="47"/>
          <w:rFonts w:ascii="宋体" w:hAnsi="宋体"/>
          <w:color w:val="auto"/>
          <w:sz w:val="28"/>
          <w:szCs w:val="28"/>
        </w:rPr>
        <w:fldChar w:fldCharType="separate"/>
      </w:r>
      <w:r>
        <w:rPr>
          <w:rStyle w:val="47"/>
          <w:rFonts w:ascii="宋体" w:hAnsi="宋体"/>
          <w:color w:val="auto"/>
          <w:sz w:val="28"/>
          <w:szCs w:val="28"/>
        </w:rPr>
        <w:t>33</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"_Toc42206702" </w:instrText>
      </w:r>
      <w:r>
        <w:fldChar w:fldCharType="separate"/>
      </w:r>
      <w:r>
        <w:rPr>
          <w:rStyle w:val="47"/>
          <w:rFonts w:ascii="宋体" w:hAnsi="宋体"/>
          <w:color w:val="auto"/>
          <w:sz w:val="28"/>
          <w:szCs w:val="28"/>
        </w:rPr>
        <w:t>五、联合协议（如需要）</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_Toc42206702 \h </w:instrText>
      </w:r>
      <w:r>
        <w:rPr>
          <w:rStyle w:val="47"/>
          <w:rFonts w:ascii="宋体" w:hAnsi="宋体"/>
          <w:color w:val="auto"/>
          <w:sz w:val="28"/>
          <w:szCs w:val="28"/>
        </w:rPr>
        <w:fldChar w:fldCharType="separate"/>
      </w:r>
      <w:r>
        <w:rPr>
          <w:rStyle w:val="47"/>
          <w:rFonts w:ascii="宋体" w:hAnsi="宋体"/>
          <w:color w:val="auto"/>
          <w:sz w:val="28"/>
          <w:szCs w:val="28"/>
        </w:rPr>
        <w:t>34</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"_Toc42206703" </w:instrText>
      </w:r>
      <w:r>
        <w:fldChar w:fldCharType="separate"/>
      </w:r>
      <w:r>
        <w:rPr>
          <w:rStyle w:val="47"/>
          <w:rFonts w:ascii="宋体" w:hAnsi="宋体"/>
          <w:color w:val="auto"/>
          <w:sz w:val="28"/>
          <w:szCs w:val="28"/>
        </w:rPr>
        <w:t>技 术 卷</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_Toc42206703 \h </w:instrText>
      </w:r>
      <w:r>
        <w:rPr>
          <w:rStyle w:val="47"/>
          <w:rFonts w:ascii="宋体" w:hAnsi="宋体"/>
          <w:color w:val="auto"/>
          <w:sz w:val="28"/>
          <w:szCs w:val="28"/>
        </w:rPr>
        <w:fldChar w:fldCharType="separate"/>
      </w:r>
      <w:r>
        <w:rPr>
          <w:rStyle w:val="47"/>
          <w:rFonts w:ascii="宋体" w:hAnsi="宋体"/>
          <w:color w:val="auto"/>
          <w:sz w:val="28"/>
          <w:szCs w:val="28"/>
        </w:rPr>
        <w:t>35</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"_Toc42206704" </w:instrText>
      </w:r>
      <w:r>
        <w:fldChar w:fldCharType="separate"/>
      </w:r>
      <w:r>
        <w:rPr>
          <w:rStyle w:val="47"/>
          <w:rFonts w:ascii="宋体" w:hAnsi="宋体"/>
          <w:color w:val="auto"/>
          <w:sz w:val="28"/>
          <w:szCs w:val="28"/>
        </w:rPr>
        <w:t>一、概述</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_Toc42206704 \h </w:instrText>
      </w:r>
      <w:r>
        <w:rPr>
          <w:rStyle w:val="47"/>
          <w:rFonts w:ascii="宋体" w:hAnsi="宋体"/>
          <w:color w:val="auto"/>
          <w:sz w:val="28"/>
          <w:szCs w:val="28"/>
        </w:rPr>
        <w:fldChar w:fldCharType="separate"/>
      </w:r>
      <w:r>
        <w:rPr>
          <w:rStyle w:val="47"/>
          <w:rFonts w:ascii="宋体" w:hAnsi="宋体"/>
          <w:color w:val="auto"/>
          <w:sz w:val="28"/>
          <w:szCs w:val="28"/>
        </w:rPr>
        <w:t>36</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"_Toc42206705" </w:instrText>
      </w:r>
      <w:r>
        <w:fldChar w:fldCharType="separate"/>
      </w:r>
      <w:r>
        <w:rPr>
          <w:rStyle w:val="47"/>
          <w:rFonts w:ascii="宋体" w:hAnsi="宋体"/>
          <w:color w:val="auto"/>
          <w:sz w:val="28"/>
          <w:szCs w:val="28"/>
        </w:rPr>
        <w:t>二、需求分析</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_Toc42206705 \h </w:instrText>
      </w:r>
      <w:r>
        <w:rPr>
          <w:rStyle w:val="47"/>
          <w:rFonts w:ascii="宋体" w:hAnsi="宋体"/>
          <w:color w:val="auto"/>
          <w:sz w:val="28"/>
          <w:szCs w:val="28"/>
        </w:rPr>
        <w:fldChar w:fldCharType="separate"/>
      </w:r>
      <w:r>
        <w:rPr>
          <w:rStyle w:val="47"/>
          <w:rFonts w:ascii="宋体" w:hAnsi="宋体"/>
          <w:color w:val="auto"/>
          <w:sz w:val="28"/>
          <w:szCs w:val="28"/>
        </w:rPr>
        <w:t>36</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"_Toc42206706" </w:instrText>
      </w:r>
      <w:r>
        <w:fldChar w:fldCharType="separate"/>
      </w:r>
      <w:r>
        <w:rPr>
          <w:rStyle w:val="47"/>
          <w:rFonts w:ascii="宋体" w:hAnsi="宋体"/>
          <w:color w:val="auto"/>
          <w:sz w:val="28"/>
          <w:szCs w:val="28"/>
        </w:rPr>
        <w:t>三、技术方案</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_Toc42206706 \h </w:instrText>
      </w:r>
      <w:r>
        <w:rPr>
          <w:rStyle w:val="47"/>
          <w:rFonts w:ascii="宋体" w:hAnsi="宋体"/>
          <w:color w:val="auto"/>
          <w:sz w:val="28"/>
          <w:szCs w:val="28"/>
        </w:rPr>
        <w:fldChar w:fldCharType="separate"/>
      </w:r>
      <w:r>
        <w:rPr>
          <w:rStyle w:val="47"/>
          <w:rFonts w:ascii="宋体" w:hAnsi="宋体"/>
          <w:color w:val="auto"/>
          <w:sz w:val="28"/>
          <w:szCs w:val="28"/>
        </w:rPr>
        <w:t>36</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"_Toc42206707" </w:instrText>
      </w:r>
      <w:r>
        <w:fldChar w:fldCharType="separate"/>
      </w:r>
      <w:r>
        <w:rPr>
          <w:rStyle w:val="47"/>
          <w:rFonts w:ascii="宋体" w:hAnsi="宋体"/>
          <w:color w:val="auto"/>
          <w:sz w:val="28"/>
          <w:szCs w:val="28"/>
        </w:rPr>
        <w:t>四、项目组织实施</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_Toc42206707 \h </w:instrText>
      </w:r>
      <w:r>
        <w:rPr>
          <w:rStyle w:val="47"/>
          <w:rFonts w:ascii="宋体" w:hAnsi="宋体"/>
          <w:color w:val="auto"/>
          <w:sz w:val="28"/>
          <w:szCs w:val="28"/>
        </w:rPr>
        <w:fldChar w:fldCharType="separate"/>
      </w:r>
      <w:r>
        <w:rPr>
          <w:rStyle w:val="47"/>
          <w:rFonts w:ascii="宋体" w:hAnsi="宋体"/>
          <w:color w:val="auto"/>
          <w:sz w:val="28"/>
          <w:szCs w:val="28"/>
        </w:rPr>
        <w:t>36</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"_Toc42206708" </w:instrText>
      </w:r>
      <w:r>
        <w:fldChar w:fldCharType="separate"/>
      </w:r>
      <w:r>
        <w:rPr>
          <w:rStyle w:val="47"/>
          <w:rFonts w:ascii="宋体" w:hAnsi="宋体"/>
          <w:color w:val="auto"/>
          <w:sz w:val="28"/>
          <w:szCs w:val="28"/>
        </w:rPr>
        <w:t>五、对招标文件有关条款的承诺</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_Toc42206708 \h </w:instrText>
      </w:r>
      <w:r>
        <w:rPr>
          <w:rStyle w:val="47"/>
          <w:rFonts w:ascii="宋体" w:hAnsi="宋体"/>
          <w:color w:val="auto"/>
          <w:sz w:val="28"/>
          <w:szCs w:val="28"/>
        </w:rPr>
        <w:fldChar w:fldCharType="separate"/>
      </w:r>
      <w:r>
        <w:rPr>
          <w:rStyle w:val="47"/>
          <w:rFonts w:ascii="宋体" w:hAnsi="宋体"/>
          <w:color w:val="auto"/>
          <w:sz w:val="28"/>
          <w:szCs w:val="28"/>
        </w:rPr>
        <w:t>37</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"_Toc42206709" </w:instrText>
      </w:r>
      <w:r>
        <w:fldChar w:fldCharType="separate"/>
      </w:r>
      <w:r>
        <w:rPr>
          <w:rStyle w:val="47"/>
          <w:rFonts w:ascii="宋体" w:hAnsi="宋体"/>
          <w:color w:val="auto"/>
          <w:sz w:val="28"/>
          <w:szCs w:val="28"/>
        </w:rPr>
        <w:t>六、提交成果</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_Toc42206709 \h </w:instrText>
      </w:r>
      <w:r>
        <w:rPr>
          <w:rStyle w:val="47"/>
          <w:rFonts w:ascii="宋体" w:hAnsi="宋体"/>
          <w:color w:val="auto"/>
          <w:sz w:val="28"/>
          <w:szCs w:val="28"/>
        </w:rPr>
        <w:fldChar w:fldCharType="separate"/>
      </w:r>
      <w:r>
        <w:rPr>
          <w:rStyle w:val="47"/>
          <w:rFonts w:ascii="宋体" w:hAnsi="宋体"/>
          <w:color w:val="auto"/>
          <w:sz w:val="28"/>
          <w:szCs w:val="28"/>
        </w:rPr>
        <w:t>37</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"_Toc42206710" </w:instrText>
      </w:r>
      <w:r>
        <w:fldChar w:fldCharType="separate"/>
      </w:r>
      <w:r>
        <w:rPr>
          <w:rStyle w:val="47"/>
          <w:rFonts w:ascii="宋体" w:hAnsi="宋体"/>
          <w:color w:val="auto"/>
          <w:sz w:val="28"/>
          <w:szCs w:val="28"/>
        </w:rPr>
        <w:t>资 质 卷</w:t>
      </w:r>
      <w:r>
        <w:rPr>
          <w:rStyle w:val="47"/>
          <w:rFonts w:ascii="宋体" w:hAnsi="宋体"/>
          <w:color w:val="auto"/>
          <w:sz w:val="28"/>
          <w:szCs w:val="28"/>
        </w:rPr>
        <w:tab/>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_Toc42206710 \h </w:instrText>
      </w:r>
      <w:r>
        <w:rPr>
          <w:rStyle w:val="47"/>
          <w:rFonts w:ascii="宋体" w:hAnsi="宋体"/>
          <w:color w:val="auto"/>
          <w:sz w:val="28"/>
          <w:szCs w:val="28"/>
        </w:rPr>
        <w:fldChar w:fldCharType="separate"/>
      </w:r>
      <w:r>
        <w:rPr>
          <w:rStyle w:val="47"/>
          <w:rFonts w:ascii="宋体" w:hAnsi="宋体"/>
          <w:color w:val="auto"/>
          <w:sz w:val="28"/>
          <w:szCs w:val="28"/>
        </w:rPr>
        <w:t>38</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"_Toc42206711" </w:instrText>
      </w:r>
      <w:r>
        <w:fldChar w:fldCharType="separate"/>
      </w:r>
      <w:r>
        <w:rPr>
          <w:rStyle w:val="47"/>
          <w:rFonts w:ascii="宋体" w:hAnsi="宋体"/>
          <w:color w:val="auto"/>
          <w:sz w:val="28"/>
          <w:szCs w:val="28"/>
        </w:rPr>
        <w:t>表一 投标单位基本情况表及以往有关业绩一览表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_Toc42206711 \h </w:instrText>
      </w:r>
      <w:r>
        <w:rPr>
          <w:rStyle w:val="47"/>
          <w:rFonts w:ascii="宋体" w:hAnsi="宋体"/>
          <w:color w:val="auto"/>
          <w:sz w:val="28"/>
          <w:szCs w:val="28"/>
        </w:rPr>
        <w:fldChar w:fldCharType="separate"/>
      </w:r>
      <w:r>
        <w:rPr>
          <w:rStyle w:val="47"/>
          <w:rFonts w:ascii="宋体" w:hAnsi="宋体"/>
          <w:color w:val="auto"/>
          <w:sz w:val="28"/>
          <w:szCs w:val="28"/>
        </w:rPr>
        <w:t>39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"_Toc42206712" </w:instrText>
      </w:r>
      <w:r>
        <w:fldChar w:fldCharType="separate"/>
      </w:r>
      <w:r>
        <w:rPr>
          <w:rStyle w:val="47"/>
          <w:rFonts w:ascii="宋体" w:hAnsi="宋体"/>
          <w:color w:val="auto"/>
          <w:sz w:val="28"/>
          <w:szCs w:val="28"/>
        </w:rPr>
        <w:t>表二 投标单位与本项目有关组织结构一览表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_Toc42206712 \h </w:instrText>
      </w:r>
      <w:r>
        <w:rPr>
          <w:rStyle w:val="47"/>
          <w:rFonts w:ascii="宋体" w:hAnsi="宋体"/>
          <w:color w:val="auto"/>
          <w:sz w:val="28"/>
          <w:szCs w:val="28"/>
        </w:rPr>
        <w:fldChar w:fldCharType="separate"/>
      </w:r>
      <w:r>
        <w:rPr>
          <w:rStyle w:val="47"/>
          <w:rFonts w:ascii="宋体" w:hAnsi="宋体"/>
          <w:color w:val="auto"/>
          <w:sz w:val="28"/>
          <w:szCs w:val="28"/>
        </w:rPr>
        <w:t>41</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"_Toc42206713" </w:instrText>
      </w:r>
      <w:r>
        <w:fldChar w:fldCharType="separate"/>
      </w:r>
      <w:r>
        <w:rPr>
          <w:rStyle w:val="47"/>
          <w:rFonts w:ascii="宋体" w:hAnsi="宋体"/>
          <w:color w:val="auto"/>
          <w:sz w:val="28"/>
          <w:szCs w:val="28"/>
        </w:rPr>
        <w:t>表三 投标单位与本项目有关主要装备一览表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_Toc42206713 \h </w:instrText>
      </w:r>
      <w:r>
        <w:rPr>
          <w:rStyle w:val="47"/>
          <w:rFonts w:ascii="宋体" w:hAnsi="宋体"/>
          <w:color w:val="auto"/>
          <w:sz w:val="28"/>
          <w:szCs w:val="28"/>
        </w:rPr>
        <w:fldChar w:fldCharType="separate"/>
      </w:r>
      <w:r>
        <w:rPr>
          <w:rStyle w:val="47"/>
          <w:rFonts w:ascii="宋体" w:hAnsi="宋体"/>
          <w:color w:val="auto"/>
          <w:sz w:val="28"/>
          <w:szCs w:val="28"/>
        </w:rPr>
        <w:t>42</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"_Toc42206714" </w:instrText>
      </w:r>
      <w:r>
        <w:fldChar w:fldCharType="separate"/>
      </w:r>
      <w:r>
        <w:rPr>
          <w:rStyle w:val="47"/>
          <w:rFonts w:ascii="宋体" w:hAnsi="宋体"/>
          <w:color w:val="auto"/>
          <w:sz w:val="28"/>
          <w:szCs w:val="28"/>
        </w:rPr>
        <w:t>表四 拟投入本合同的服务人员情况</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_Toc42206714 \h </w:instrText>
      </w:r>
      <w:r>
        <w:rPr>
          <w:rStyle w:val="47"/>
          <w:rFonts w:ascii="宋体" w:hAnsi="宋体"/>
          <w:color w:val="auto"/>
          <w:sz w:val="28"/>
          <w:szCs w:val="28"/>
        </w:rPr>
        <w:fldChar w:fldCharType="separate"/>
      </w:r>
      <w:r>
        <w:rPr>
          <w:rStyle w:val="47"/>
          <w:rFonts w:ascii="宋体" w:hAnsi="宋体"/>
          <w:color w:val="auto"/>
          <w:sz w:val="28"/>
          <w:szCs w:val="28"/>
        </w:rPr>
        <w:t>43</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"_Toc42206715" </w:instrText>
      </w:r>
      <w:r>
        <w:fldChar w:fldCharType="separate"/>
      </w:r>
      <w:r>
        <w:rPr>
          <w:rStyle w:val="47"/>
          <w:rFonts w:ascii="宋体" w:hAnsi="宋体"/>
          <w:color w:val="auto"/>
          <w:sz w:val="28"/>
          <w:szCs w:val="28"/>
        </w:rPr>
        <w:t>表四-1 项目负责人简历表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_Toc42206715 \h </w:instrText>
      </w:r>
      <w:r>
        <w:rPr>
          <w:rStyle w:val="47"/>
          <w:rFonts w:ascii="宋体" w:hAnsi="宋体"/>
          <w:color w:val="auto"/>
          <w:sz w:val="28"/>
          <w:szCs w:val="28"/>
        </w:rPr>
        <w:fldChar w:fldCharType="separate"/>
      </w:r>
      <w:r>
        <w:rPr>
          <w:rStyle w:val="47"/>
          <w:rFonts w:ascii="宋体" w:hAnsi="宋体"/>
          <w:color w:val="auto"/>
          <w:sz w:val="28"/>
          <w:szCs w:val="28"/>
        </w:rPr>
        <w:t>44</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"_Toc42206716" </w:instrText>
      </w:r>
      <w:r>
        <w:fldChar w:fldCharType="separate"/>
      </w:r>
      <w:r>
        <w:rPr>
          <w:rStyle w:val="47"/>
          <w:rFonts w:ascii="宋体" w:hAnsi="宋体"/>
          <w:color w:val="auto"/>
          <w:sz w:val="28"/>
          <w:szCs w:val="28"/>
        </w:rPr>
        <w:t>表四-2 项目技术负责人简历表</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_Toc42206716 \h </w:instrText>
      </w:r>
      <w:r>
        <w:rPr>
          <w:rStyle w:val="47"/>
          <w:rFonts w:ascii="宋体" w:hAnsi="宋体"/>
          <w:color w:val="auto"/>
          <w:sz w:val="28"/>
          <w:szCs w:val="28"/>
        </w:rPr>
        <w:fldChar w:fldCharType="separate"/>
      </w:r>
      <w:r>
        <w:rPr>
          <w:rStyle w:val="47"/>
          <w:rFonts w:ascii="宋体" w:hAnsi="宋体"/>
          <w:color w:val="auto"/>
          <w:sz w:val="28"/>
          <w:szCs w:val="28"/>
        </w:rPr>
        <w:t>45</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"_Toc42206717" </w:instrText>
      </w:r>
      <w:r>
        <w:fldChar w:fldCharType="separate"/>
      </w:r>
      <w:r>
        <w:rPr>
          <w:rStyle w:val="47"/>
          <w:rFonts w:ascii="宋体" w:hAnsi="宋体"/>
          <w:color w:val="auto"/>
          <w:sz w:val="28"/>
          <w:szCs w:val="28"/>
        </w:rPr>
        <w:t>表四-3 项目管理班子配备情况辅助说明资料</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_Toc42206717 \h </w:instrText>
      </w:r>
      <w:r>
        <w:rPr>
          <w:rStyle w:val="47"/>
          <w:rFonts w:ascii="宋体" w:hAnsi="宋体"/>
          <w:color w:val="auto"/>
          <w:sz w:val="28"/>
          <w:szCs w:val="28"/>
        </w:rPr>
        <w:fldChar w:fldCharType="separate"/>
      </w:r>
      <w:r>
        <w:rPr>
          <w:rStyle w:val="47"/>
          <w:rFonts w:ascii="宋体" w:hAnsi="宋体"/>
          <w:color w:val="auto"/>
          <w:sz w:val="28"/>
          <w:szCs w:val="28"/>
        </w:rPr>
        <w:t>46</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"_Toc42206718" </w:instrText>
      </w:r>
      <w:r>
        <w:fldChar w:fldCharType="separate"/>
      </w:r>
      <w:r>
        <w:rPr>
          <w:rStyle w:val="47"/>
          <w:rFonts w:ascii="宋体" w:hAnsi="宋体"/>
          <w:color w:val="auto"/>
          <w:sz w:val="28"/>
          <w:szCs w:val="28"/>
        </w:rPr>
        <w:t>表五 投标单位保障措施</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_Toc42206718 \h </w:instrText>
      </w:r>
      <w:r>
        <w:rPr>
          <w:rStyle w:val="47"/>
          <w:rFonts w:ascii="宋体" w:hAnsi="宋体"/>
          <w:color w:val="auto"/>
          <w:sz w:val="28"/>
          <w:szCs w:val="28"/>
        </w:rPr>
        <w:fldChar w:fldCharType="separate"/>
      </w:r>
      <w:r>
        <w:rPr>
          <w:rStyle w:val="47"/>
          <w:rFonts w:ascii="宋体" w:hAnsi="宋体"/>
          <w:color w:val="auto"/>
          <w:sz w:val="28"/>
          <w:szCs w:val="28"/>
        </w:rPr>
        <w:t>47</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"_Toc42206719" </w:instrText>
      </w:r>
      <w:r>
        <w:fldChar w:fldCharType="separate"/>
      </w:r>
      <w:r>
        <w:rPr>
          <w:rStyle w:val="47"/>
          <w:rFonts w:ascii="宋体" w:hAnsi="宋体"/>
          <w:color w:val="auto"/>
          <w:sz w:val="28"/>
          <w:szCs w:val="28"/>
        </w:rPr>
        <w:t>表六 投标单位完成本项目的工作基础和有利条件</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_Toc42206719 \h </w:instrText>
      </w:r>
      <w:r>
        <w:rPr>
          <w:rStyle w:val="47"/>
          <w:rFonts w:ascii="宋体" w:hAnsi="宋体"/>
          <w:color w:val="auto"/>
          <w:sz w:val="28"/>
          <w:szCs w:val="28"/>
        </w:rPr>
        <w:fldChar w:fldCharType="separate"/>
      </w:r>
      <w:r>
        <w:rPr>
          <w:rStyle w:val="47"/>
          <w:rFonts w:ascii="宋体" w:hAnsi="宋体"/>
          <w:color w:val="auto"/>
          <w:sz w:val="28"/>
          <w:szCs w:val="28"/>
        </w:rPr>
        <w:t>48</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"_Toc42206720" </w:instrText>
      </w:r>
      <w:r>
        <w:fldChar w:fldCharType="separate"/>
      </w:r>
      <w:r>
        <w:rPr>
          <w:rStyle w:val="47"/>
          <w:rFonts w:ascii="宋体" w:hAnsi="宋体"/>
          <w:color w:val="auto"/>
          <w:sz w:val="28"/>
          <w:szCs w:val="28"/>
        </w:rPr>
        <w:t>表七投标单位审查意见</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_Toc42206720 \h </w:instrText>
      </w:r>
      <w:r>
        <w:rPr>
          <w:rStyle w:val="47"/>
          <w:rFonts w:ascii="宋体" w:hAnsi="宋体"/>
          <w:color w:val="auto"/>
          <w:sz w:val="28"/>
          <w:szCs w:val="28"/>
        </w:rPr>
        <w:fldChar w:fldCharType="separate"/>
      </w:r>
      <w:r>
        <w:rPr>
          <w:rStyle w:val="47"/>
          <w:rFonts w:ascii="宋体" w:hAnsi="宋体"/>
          <w:color w:val="auto"/>
          <w:sz w:val="28"/>
          <w:szCs w:val="28"/>
        </w:rPr>
        <w:t>49</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rPr>
          <w:rStyle w:val="47"/>
          <w:rFonts w:ascii="宋体" w:hAnsi="宋体"/>
          <w:color w:val="auto"/>
          <w:sz w:val="28"/>
          <w:szCs w:val="28"/>
        </w:rPr>
      </w:pPr>
      <w:r>
        <w:fldChar w:fldCharType="begin"/>
      </w:r>
      <w:r>
        <w:instrText xml:space="preserve"> HYPERLINK \l "_Toc42206721" </w:instrText>
      </w:r>
      <w:r>
        <w:fldChar w:fldCharType="separate"/>
      </w:r>
      <w:r>
        <w:rPr>
          <w:rStyle w:val="47"/>
          <w:rFonts w:ascii="宋体" w:hAnsi="宋体"/>
          <w:color w:val="auto"/>
          <w:sz w:val="28"/>
          <w:szCs w:val="28"/>
        </w:rPr>
        <w:t>表八投标人资格证明文件</w:t>
      </w:r>
      <w:r>
        <w:rPr>
          <w:rStyle w:val="47"/>
          <w:rFonts w:hint="eastAsia" w:ascii="宋体" w:hAnsi="宋体"/>
          <w:color w:val="auto"/>
          <w:sz w:val="28"/>
          <w:szCs w:val="28"/>
        </w:rPr>
        <w:t>………………………………………………………</w:t>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_Toc42206721 \h </w:instrText>
      </w:r>
      <w:r>
        <w:rPr>
          <w:rStyle w:val="47"/>
          <w:rFonts w:ascii="宋体" w:hAnsi="宋体"/>
          <w:color w:val="auto"/>
          <w:sz w:val="28"/>
          <w:szCs w:val="28"/>
        </w:rPr>
        <w:fldChar w:fldCharType="separate"/>
      </w:r>
      <w:r>
        <w:rPr>
          <w:rStyle w:val="47"/>
          <w:rFonts w:ascii="宋体" w:hAnsi="宋体"/>
          <w:color w:val="auto"/>
          <w:sz w:val="28"/>
          <w:szCs w:val="28"/>
        </w:rPr>
        <w:t>50</w:t>
      </w:r>
      <w:r>
        <w:rPr>
          <w:rStyle w:val="47"/>
          <w:rFonts w:ascii="宋体" w:hAnsi="宋体"/>
          <w:color w:val="auto"/>
          <w:sz w:val="28"/>
          <w:szCs w:val="28"/>
        </w:rPr>
        <w:fldChar w:fldCharType="end"/>
      </w:r>
      <w:r>
        <w:rPr>
          <w:rStyle w:val="47"/>
          <w:rFonts w:ascii="宋体" w:hAnsi="宋体"/>
          <w:color w:val="auto"/>
          <w:sz w:val="28"/>
          <w:szCs w:val="28"/>
        </w:rPr>
        <w:fldChar w:fldCharType="end"/>
      </w:r>
    </w:p>
    <w:p>
      <w:pPr>
        <w:pStyle w:val="28"/>
        <w:tabs>
          <w:tab w:val="right" w:leader="dot" w:pos="9403"/>
        </w:tabs>
        <w:rPr>
          <w:rStyle w:val="47"/>
          <w:rFonts w:ascii="宋体" w:hAnsi="宋体"/>
          <w:color w:val="auto"/>
          <w:sz w:val="28"/>
          <w:szCs w:val="28"/>
        </w:rPr>
      </w:pPr>
      <w:r>
        <w:fldChar w:fldCharType="begin"/>
      </w:r>
      <w:r>
        <w:instrText xml:space="preserve"> HYPERLINK \l "_Toc42206722" </w:instrText>
      </w:r>
      <w:r>
        <w:fldChar w:fldCharType="separate"/>
      </w:r>
      <w:r>
        <w:rPr>
          <w:rStyle w:val="47"/>
          <w:rFonts w:ascii="宋体" w:hAnsi="宋体"/>
          <w:color w:val="auto"/>
          <w:sz w:val="28"/>
          <w:szCs w:val="28"/>
        </w:rPr>
        <w:t>招标文件5:合同格式</w:t>
      </w:r>
      <w:r>
        <w:rPr>
          <w:rStyle w:val="47"/>
          <w:rFonts w:ascii="宋体" w:hAnsi="宋体"/>
          <w:color w:val="auto"/>
          <w:sz w:val="28"/>
          <w:szCs w:val="28"/>
        </w:rPr>
        <w:tab/>
      </w:r>
      <w:r>
        <w:rPr>
          <w:rStyle w:val="47"/>
          <w:rFonts w:ascii="宋体" w:hAnsi="宋体"/>
          <w:color w:val="auto"/>
          <w:sz w:val="28"/>
          <w:szCs w:val="28"/>
        </w:rPr>
        <w:fldChar w:fldCharType="begin"/>
      </w:r>
      <w:r>
        <w:rPr>
          <w:rStyle w:val="47"/>
          <w:rFonts w:ascii="宋体" w:hAnsi="宋体"/>
          <w:color w:val="auto"/>
          <w:sz w:val="28"/>
          <w:szCs w:val="28"/>
        </w:rPr>
        <w:instrText xml:space="preserve"> PAGEREF _Toc42206722 \h </w:instrText>
      </w:r>
      <w:r>
        <w:rPr>
          <w:rStyle w:val="47"/>
          <w:rFonts w:ascii="宋体" w:hAnsi="宋体"/>
          <w:color w:val="auto"/>
          <w:sz w:val="28"/>
          <w:szCs w:val="28"/>
        </w:rPr>
        <w:fldChar w:fldCharType="separate"/>
      </w:r>
      <w:r>
        <w:rPr>
          <w:rStyle w:val="47"/>
          <w:rFonts w:ascii="宋体" w:hAnsi="宋体"/>
          <w:color w:val="auto"/>
          <w:sz w:val="28"/>
          <w:szCs w:val="28"/>
        </w:rPr>
        <w:t>63</w:t>
      </w:r>
      <w:r>
        <w:rPr>
          <w:rStyle w:val="47"/>
          <w:rFonts w:ascii="宋体" w:hAnsi="宋体"/>
          <w:color w:val="auto"/>
          <w:sz w:val="28"/>
          <w:szCs w:val="28"/>
        </w:rPr>
        <w:fldChar w:fldCharType="end"/>
      </w:r>
      <w:r>
        <w:rPr>
          <w:rStyle w:val="47"/>
          <w:rFonts w:ascii="宋体" w:hAnsi="宋体"/>
          <w:color w:val="auto"/>
          <w:sz w:val="28"/>
          <w:szCs w:val="28"/>
        </w:rPr>
        <w:fldChar w:fldCharType="end"/>
      </w:r>
    </w:p>
    <w:p>
      <w:pPr>
        <w:rPr>
          <w:color w:val="000000" w:themeColor="text1"/>
          <w:sz w:val="28"/>
          <w:szCs w:val="28"/>
        </w:rPr>
      </w:pPr>
      <w:r>
        <w:rPr>
          <w:b/>
          <w:bCs/>
          <w:color w:val="000000" w:themeColor="text1"/>
          <w:sz w:val="28"/>
          <w:szCs w:val="28"/>
          <w:lang w:val="zh-CN"/>
        </w:rPr>
        <w:fldChar w:fldCharType="end"/>
      </w:r>
    </w:p>
    <w:p>
      <w:pPr>
        <w:pStyle w:val="3"/>
        <w:spacing w:before="0" w:after="0" w:line="360" w:lineRule="auto"/>
        <w:jc w:val="center"/>
        <w:rPr>
          <w:rFonts w:ascii="宋体" w:hAnsi="宋体"/>
          <w:color w:val="000000" w:themeColor="text1"/>
          <w:kern w:val="2"/>
          <w:sz w:val="28"/>
          <w:szCs w:val="28"/>
        </w:rPr>
        <w:sectPr>
          <w:footerReference r:id="rId4" w:type="default"/>
          <w:pgSz w:w="11907" w:h="16840"/>
          <w:pgMar w:top="1440" w:right="1247" w:bottom="1440" w:left="1247" w:header="851" w:footer="992" w:gutter="0"/>
          <w:pgNumType w:start="1"/>
          <w:cols w:space="720" w:num="1"/>
        </w:sectPr>
      </w:pPr>
      <w:bookmarkStart w:id="0" w:name="_Toc183354744"/>
      <w:bookmarkStart w:id="1" w:name="_Toc186281363"/>
      <w:bookmarkStart w:id="2" w:name="_Toc183453388"/>
      <w:bookmarkStart w:id="3" w:name="_Toc123272996"/>
    </w:p>
    <w:p>
      <w:pPr>
        <w:pStyle w:val="3"/>
        <w:spacing w:before="0" w:after="0" w:line="360" w:lineRule="auto"/>
        <w:jc w:val="center"/>
        <w:rPr>
          <w:rFonts w:ascii="宋体" w:hAnsi="宋体"/>
          <w:color w:val="000000" w:themeColor="text1"/>
          <w:kern w:val="2"/>
          <w:sz w:val="36"/>
          <w:szCs w:val="36"/>
        </w:rPr>
      </w:pPr>
      <w:bookmarkStart w:id="4" w:name="_Toc414384901"/>
      <w:bookmarkStart w:id="5" w:name="_Toc42206677"/>
      <w:bookmarkStart w:id="6" w:name="_Toc31361"/>
      <w:r>
        <w:rPr>
          <w:rFonts w:hint="eastAsia" w:ascii="宋体" w:hAnsi="宋体"/>
          <w:color w:val="000000" w:themeColor="text1"/>
          <w:kern w:val="2"/>
          <w:sz w:val="36"/>
          <w:szCs w:val="36"/>
        </w:rPr>
        <w:t>前附表</w:t>
      </w:r>
      <w:bookmarkEnd w:id="0"/>
      <w:bookmarkEnd w:id="1"/>
      <w:bookmarkEnd w:id="2"/>
      <w:bookmarkEnd w:id="4"/>
      <w:bookmarkEnd w:id="5"/>
      <w:bookmarkEnd w:id="6"/>
    </w:p>
    <w:tbl>
      <w:tblPr>
        <w:tblStyle w:val="41"/>
        <w:tblW w:w="8943"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02"/>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hint="eastAsia" w:ascii="宋体" w:hAnsi="宋体" w:eastAsia="宋体"/>
                <w:b/>
                <w:color w:val="000000" w:themeColor="text1"/>
                <w:sz w:val="24"/>
              </w:rPr>
              <w:t>序号</w:t>
            </w:r>
          </w:p>
        </w:tc>
        <w:tc>
          <w:tcPr>
            <w:tcW w:w="1702"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hint="eastAsia" w:ascii="宋体" w:hAnsi="宋体" w:eastAsia="宋体"/>
                <w:b/>
                <w:color w:val="000000" w:themeColor="text1"/>
                <w:sz w:val="24"/>
              </w:rPr>
              <w:t>项目</w:t>
            </w:r>
          </w:p>
        </w:tc>
        <w:tc>
          <w:tcPr>
            <w:tcW w:w="6521"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hint="eastAsia" w:ascii="宋体" w:hAnsi="宋体" w:eastAsia="宋体"/>
                <w:b/>
                <w:color w:val="000000" w:themeColor="text1"/>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采购人及项目名称</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采购人：水利部信息中心</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委托采购人：安徽省水文局</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项目名称：</w:t>
            </w:r>
            <w:r>
              <w:rPr>
                <w:rFonts w:ascii="宋体" w:hAnsi="宋体"/>
                <w:color w:val="000000" w:themeColor="text1"/>
                <w:sz w:val="24"/>
                <w:szCs w:val="24"/>
              </w:rPr>
              <w:t>2020年</w:t>
            </w:r>
            <w:r>
              <w:rPr>
                <w:rFonts w:hint="eastAsia" w:ascii="宋体" w:hAnsi="宋体"/>
                <w:color w:val="000000" w:themeColor="text1"/>
                <w:sz w:val="24"/>
                <w:szCs w:val="24"/>
              </w:rPr>
              <w:t>安徽</w:t>
            </w:r>
            <w:r>
              <w:rPr>
                <w:rFonts w:ascii="宋体" w:hAnsi="宋体"/>
                <w:color w:val="000000" w:themeColor="text1"/>
                <w:sz w:val="24"/>
                <w:szCs w:val="24"/>
              </w:rPr>
              <w:t>省国家地下水监测工程（水利部分）</w:t>
            </w:r>
            <w:bookmarkStart w:id="7" w:name="_Hlk7957450"/>
            <w:r>
              <w:rPr>
                <w:rFonts w:hint="eastAsia" w:ascii="宋体" w:hAnsi="宋体"/>
                <w:color w:val="000000" w:themeColor="text1"/>
                <w:sz w:val="24"/>
                <w:szCs w:val="24"/>
              </w:rPr>
              <w:t>监测系统运行维护和地下水水质监测项目</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2</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招标编号</w:t>
            </w:r>
          </w:p>
        </w:tc>
        <w:tc>
          <w:tcPr>
            <w:tcW w:w="6521" w:type="dxa"/>
            <w:vAlign w:val="center"/>
          </w:tcPr>
          <w:p>
            <w:pPr>
              <w:adjustRightInd w:val="0"/>
              <w:snapToGrid w:val="0"/>
              <w:rPr>
                <w:rFonts w:ascii="宋体" w:hAnsi="宋体"/>
                <w:b/>
                <w:color w:val="000000" w:themeColor="text1"/>
                <w:sz w:val="24"/>
                <w:szCs w:val="24"/>
              </w:rPr>
            </w:pPr>
            <w:r>
              <w:rPr>
                <w:rFonts w:ascii="宋体" w:hAnsi="宋体"/>
                <w:b/>
                <w:color w:val="000000" w:themeColor="text1"/>
                <w:sz w:val="24"/>
                <w:szCs w:val="24"/>
              </w:rPr>
              <w:t>AZ20200713-FW0080001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3</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招标方式</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4</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项目资金来源</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中央预算资金。本项目适用法律为《中华人民共和国政府采购法》</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项目预算：320.26</w:t>
            </w:r>
            <w:r>
              <w:rPr>
                <w:rFonts w:ascii="宋体" w:hAnsi="宋体"/>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5</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ascii="宋体" w:hAnsi="宋体" w:eastAsia="宋体"/>
                <w:b/>
                <w:color w:val="000000" w:themeColor="text1"/>
                <w:sz w:val="24"/>
              </w:rPr>
              <w:t>*</w:t>
            </w:r>
            <w:r>
              <w:rPr>
                <w:rFonts w:hint="eastAsia" w:ascii="宋体" w:hAnsi="宋体" w:eastAsia="宋体"/>
                <w:b/>
                <w:color w:val="000000" w:themeColor="text1"/>
                <w:sz w:val="24"/>
              </w:rPr>
              <w:t>合格投标人资格要求</w:t>
            </w:r>
          </w:p>
        </w:tc>
        <w:tc>
          <w:tcPr>
            <w:tcW w:w="6521" w:type="dxa"/>
            <w:vAlign w:val="center"/>
          </w:tcPr>
          <w:p>
            <w:pPr>
              <w:adjustRightInd w:val="0"/>
              <w:snapToGrid w:val="0"/>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1）应当具备政府采购法第二十二条第一款规定的条件：</w:t>
            </w:r>
          </w:p>
          <w:p>
            <w:pPr>
              <w:adjustRightInd w:val="0"/>
              <w:snapToGrid w:val="0"/>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①法人或者其他组织的营业执照等证明文件，自然人的身份证明；</w:t>
            </w:r>
          </w:p>
          <w:p>
            <w:pPr>
              <w:adjustRightInd w:val="0"/>
              <w:snapToGrid w:val="0"/>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②财务状况报告，依法缴纳税收和社会保障资金的相关材料；</w:t>
            </w:r>
          </w:p>
          <w:p>
            <w:pPr>
              <w:adjustRightInd w:val="0"/>
              <w:snapToGrid w:val="0"/>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③具备履行合同所必需的设备和专业技术能力的证明材料；</w:t>
            </w:r>
          </w:p>
          <w:p>
            <w:pPr>
              <w:adjustRightInd w:val="0"/>
              <w:snapToGrid w:val="0"/>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④参加政府采购活动前三年内在经营活动中没有重大违法记录的书面声明；</w:t>
            </w:r>
          </w:p>
          <w:p>
            <w:pPr>
              <w:adjustRightInd w:val="0"/>
              <w:snapToGrid w:val="0"/>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⑤具备法律、行政法规规定的其他条件的证明材料。</w:t>
            </w:r>
          </w:p>
          <w:p>
            <w:pPr>
              <w:adjustRightInd w:val="0"/>
              <w:snapToGrid w:val="0"/>
              <w:ind w:left="562" w:leftChars="-18" w:hanging="600" w:hangingChars="250"/>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2）投标人的经营范围应是符合本次投标要求的，不接受外资检测单位或中外合资检测单位投标。</w:t>
            </w:r>
          </w:p>
          <w:p>
            <w:pPr>
              <w:adjustRightInd w:val="0"/>
              <w:snapToGrid w:val="0"/>
              <w:ind w:left="562" w:leftChars="-18" w:hanging="600" w:hangingChars="250"/>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3）</w:t>
            </w:r>
            <w:r>
              <w:rPr>
                <w:rFonts w:hint="eastAsia" w:ascii="Times New Roman" w:hAnsi="Times New Roman"/>
                <w:kern w:val="0"/>
                <w:sz w:val="24"/>
                <w:szCs w:val="24"/>
              </w:rPr>
              <w:t>参加本项目的投标人或参加联合体投标承担地下水水质监测任务的投标人应具有国家级或省级以上检验检测机构实验室资质认定资质（CMA），CMA证书包括42项指标，为《地下水质量标准》（GB/T14848-2017）中37项常规指标（总α放射性、总β放射性除外）及其他5项地下水化学指标（钾、钙、镁、碳酸根、重碳酸根）</w:t>
            </w:r>
            <w:r>
              <w:rPr>
                <w:rFonts w:hint="eastAsia"/>
                <w:kern w:val="0"/>
                <w:sz w:val="24"/>
                <w:szCs w:val="24"/>
              </w:rPr>
              <w:t>。</w:t>
            </w:r>
          </w:p>
          <w:p>
            <w:pPr>
              <w:adjustRightInd w:val="0"/>
              <w:snapToGrid w:val="0"/>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4</w:t>
            </w:r>
            <w:r>
              <w:rPr>
                <w:rFonts w:hint="eastAsia" w:ascii="宋体" w:hAnsi="宋体"/>
                <w:color w:val="000000" w:themeColor="text1"/>
                <w:sz w:val="24"/>
                <w:szCs w:val="24"/>
              </w:rPr>
              <w:t>）按照招标公告要求购买了招标文件。</w:t>
            </w:r>
          </w:p>
          <w:p>
            <w:pPr>
              <w:adjustRightInd w:val="0"/>
              <w:snapToGrid w:val="0"/>
              <w:ind w:left="562" w:leftChars="-18" w:hanging="600" w:hangingChars="250"/>
              <w:rPr>
                <w:rFonts w:ascii="宋体" w:hAnsi="宋体"/>
                <w:color w:val="000000"/>
                <w:sz w:val="24"/>
                <w:szCs w:val="20"/>
              </w:rPr>
            </w:pPr>
            <w:r>
              <w:rPr>
                <w:rFonts w:hint="eastAsia" w:ascii="宋体" w:hAnsi="宋体"/>
                <w:color w:val="000000" w:themeColor="text1"/>
                <w:sz w:val="24"/>
                <w:szCs w:val="24"/>
              </w:rPr>
              <w:t>（5）投标单位负责人为同一人或者存在直接控股、管理关系的不同供应商，不得参加同一合同项下的政府采购活动。以联合体形式参加政府采购活动的，联合体各方不得再单独参加或者与其他供应商另外组成联合体参加同一合同项下的政府采购活动。</w:t>
            </w:r>
          </w:p>
          <w:p>
            <w:pPr>
              <w:adjustRightInd w:val="0"/>
              <w:snapToGrid w:val="0"/>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（6）投标人不得为列入失信被执行人、重大税收违法案件当事人名单、政府采购严重违法失信行为记录名单的供应商。具体名单以“信用中国”网站（</w:t>
            </w:r>
            <w:r>
              <w:rPr>
                <w:rFonts w:ascii="宋体" w:hAnsi="宋体"/>
                <w:color w:val="000000" w:themeColor="text1"/>
                <w:sz w:val="24"/>
                <w:szCs w:val="24"/>
              </w:rPr>
              <w:t>www.creditchina.gov.cn）</w:t>
            </w:r>
            <w:r>
              <w:rPr>
                <w:rFonts w:hint="eastAsia" w:ascii="宋体" w:hAnsi="宋体"/>
                <w:color w:val="000000" w:themeColor="text1"/>
                <w:sz w:val="24"/>
                <w:szCs w:val="24"/>
              </w:rPr>
              <w:t>、中国政府采购网（</w:t>
            </w:r>
            <w:r>
              <w:rPr>
                <w:rFonts w:ascii="宋体" w:hAnsi="宋体"/>
                <w:color w:val="000000" w:themeColor="text1"/>
                <w:sz w:val="24"/>
                <w:szCs w:val="24"/>
              </w:rPr>
              <w:t>www.ccgp.gov.cn</w:t>
            </w:r>
            <w:r>
              <w:rPr>
                <w:rFonts w:hint="eastAsia" w:ascii="宋体" w:hAnsi="宋体"/>
                <w:color w:val="000000" w:themeColor="text1"/>
                <w:sz w:val="24"/>
                <w:szCs w:val="24"/>
              </w:rPr>
              <w:t>）</w:t>
            </w:r>
            <w:r>
              <w:rPr>
                <w:rFonts w:ascii="宋体" w:hAnsi="宋体"/>
                <w:color w:val="000000" w:themeColor="text1"/>
                <w:sz w:val="24"/>
                <w:szCs w:val="24"/>
              </w:rPr>
              <w:t>公布名单为准。采购代理机构将对供应商信用记录进行甄别，对列入失信被执行人、重大税收违法案件当事人名单、政府采购严重违法失信行为记录名单且在处罚期内的供应商，将拒绝其参与本次政府采购活动。</w:t>
            </w:r>
          </w:p>
          <w:p>
            <w:pPr>
              <w:adjustRightInd w:val="0"/>
              <w:snapToGrid w:val="0"/>
              <w:ind w:left="562" w:leftChars="-18" w:hanging="600" w:hangingChars="250"/>
              <w:rPr>
                <w:rFonts w:ascii="宋体" w:hAnsi="宋体"/>
                <w:color w:val="000000" w:themeColor="text1"/>
                <w:kern w:val="0"/>
                <w:sz w:val="24"/>
                <w:szCs w:val="24"/>
              </w:rPr>
            </w:pPr>
            <w:r>
              <w:rPr>
                <w:rFonts w:hint="eastAsia" w:ascii="宋体" w:hAnsi="宋体"/>
                <w:color w:val="000000" w:themeColor="text1"/>
                <w:sz w:val="24"/>
                <w:szCs w:val="24"/>
              </w:rPr>
              <w:t>（7）本项目接受联合体投标。</w:t>
            </w:r>
            <w:r>
              <w:rPr>
                <w:rFonts w:hint="eastAsia" w:ascii="宋体" w:hAnsi="宋体"/>
                <w:sz w:val="24"/>
                <w:szCs w:val="24"/>
              </w:rPr>
              <w:t>参加联合体的供应商投标时应当提交联合协议，载明联合体各方承担的工作和义务。联合体各方应当共同与采购人签订采购合同，就采购合同约定的事项对采购人承担连带责任。联合体成员（含联合体牵头人）数量不得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6</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招标公告</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发布时间：</w:t>
            </w:r>
            <w:r>
              <w:rPr>
                <w:rFonts w:ascii="宋体" w:hAnsi="宋体"/>
                <w:color w:val="000000" w:themeColor="text1"/>
                <w:sz w:val="24"/>
                <w:szCs w:val="24"/>
              </w:rPr>
              <w:t>2020年</w:t>
            </w:r>
            <w:r>
              <w:rPr>
                <w:rFonts w:hint="eastAsia" w:ascii="宋体" w:hAnsi="宋体"/>
                <w:color w:val="000000" w:themeColor="text1"/>
                <w:sz w:val="24"/>
                <w:szCs w:val="24"/>
              </w:rPr>
              <w:t>7</w:t>
            </w:r>
            <w:r>
              <w:rPr>
                <w:rFonts w:ascii="宋体" w:hAnsi="宋体"/>
                <w:color w:val="000000" w:themeColor="text1"/>
                <w:sz w:val="24"/>
                <w:szCs w:val="24"/>
              </w:rPr>
              <w:t>月</w:t>
            </w:r>
            <w:r>
              <w:rPr>
                <w:rFonts w:hint="eastAsia" w:ascii="宋体" w:hAnsi="宋体"/>
                <w:color w:val="000000" w:themeColor="text1"/>
                <w:sz w:val="24"/>
                <w:szCs w:val="24"/>
              </w:rPr>
              <w:t>13</w:t>
            </w:r>
            <w:r>
              <w:rPr>
                <w:rFonts w:ascii="宋体" w:hAnsi="宋体"/>
                <w:color w:val="000000" w:themeColor="text1"/>
                <w:sz w:val="24"/>
                <w:szCs w:val="24"/>
              </w:rPr>
              <w:t>日</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发布网站：中国政府采购网（</w:t>
            </w:r>
            <w:r>
              <w:rPr>
                <w:rFonts w:ascii="宋体" w:hAnsi="宋体"/>
                <w:color w:val="000000" w:themeColor="text1"/>
                <w:sz w:val="24"/>
                <w:szCs w:val="24"/>
              </w:rPr>
              <w:t>www.ccgp.gov.cn</w:t>
            </w:r>
            <w:r>
              <w:rPr>
                <w:rFonts w:hint="eastAsia" w:ascii="宋体" w:hAnsi="宋体"/>
                <w:color w:val="000000" w:themeColor="text1"/>
                <w:sz w:val="24"/>
                <w:szCs w:val="24"/>
              </w:rPr>
              <w:t>）、</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水利部淮河水利委员会·安徽省水利厅电子交易平台（www.anzhaobid.com）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7</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招标文件销售</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时间：</w:t>
            </w:r>
            <w:r>
              <w:rPr>
                <w:color w:val="000000" w:themeColor="text1"/>
                <w:sz w:val="24"/>
              </w:rPr>
              <w:t>2020年</w:t>
            </w:r>
            <w:r>
              <w:rPr>
                <w:rFonts w:hint="eastAsia"/>
                <w:color w:val="000000" w:themeColor="text1"/>
                <w:sz w:val="24"/>
              </w:rPr>
              <w:t>7</w:t>
            </w:r>
            <w:r>
              <w:rPr>
                <w:color w:val="000000" w:themeColor="text1"/>
                <w:sz w:val="24"/>
              </w:rPr>
              <w:t>月</w:t>
            </w:r>
            <w:r>
              <w:rPr>
                <w:rFonts w:hint="eastAsia"/>
                <w:color w:val="000000" w:themeColor="text1"/>
                <w:sz w:val="24"/>
              </w:rPr>
              <w:t>13日</w:t>
            </w:r>
            <w:r>
              <w:rPr>
                <w:color w:val="000000" w:themeColor="text1"/>
                <w:sz w:val="24"/>
              </w:rPr>
              <w:t xml:space="preserve"> 09:00 </w:t>
            </w:r>
            <w:r>
              <w:rPr>
                <w:rFonts w:hint="eastAsia"/>
                <w:color w:val="000000" w:themeColor="text1"/>
                <w:sz w:val="24"/>
              </w:rPr>
              <w:t>至</w:t>
            </w:r>
            <w:r>
              <w:rPr>
                <w:color w:val="000000" w:themeColor="text1"/>
                <w:sz w:val="24"/>
              </w:rPr>
              <w:t xml:space="preserve"> 2020年</w:t>
            </w:r>
            <w:r>
              <w:rPr>
                <w:rFonts w:hint="eastAsia"/>
                <w:color w:val="000000" w:themeColor="text1"/>
                <w:sz w:val="24"/>
              </w:rPr>
              <w:t>7</w:t>
            </w:r>
            <w:r>
              <w:rPr>
                <w:color w:val="000000" w:themeColor="text1"/>
                <w:sz w:val="24"/>
              </w:rPr>
              <w:t>月</w:t>
            </w:r>
            <w:r>
              <w:rPr>
                <w:rFonts w:hint="eastAsia"/>
                <w:color w:val="000000" w:themeColor="text1"/>
                <w:sz w:val="24"/>
              </w:rPr>
              <w:t>28日</w:t>
            </w:r>
            <w:r>
              <w:rPr>
                <w:color w:val="000000" w:themeColor="text1"/>
                <w:sz w:val="24"/>
              </w:rPr>
              <w:t xml:space="preserve"> 17:00</w:t>
            </w:r>
            <w:r>
              <w:rPr>
                <w:rFonts w:ascii="宋体" w:hAnsi="宋体"/>
                <w:color w:val="000000" w:themeColor="text1"/>
                <w:sz w:val="24"/>
                <w:szCs w:val="24"/>
              </w:rPr>
              <w:t>。</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地点：</w:t>
            </w:r>
            <w:r>
              <w:fldChar w:fldCharType="begin"/>
            </w:r>
            <w:r>
              <w:instrText xml:space="preserve"> HYPERLINK "http://www.anzhaobid.com" </w:instrText>
            </w:r>
            <w:r>
              <w:fldChar w:fldCharType="separate"/>
            </w:r>
            <w:r>
              <w:rPr>
                <w:rStyle w:val="47"/>
                <w:rFonts w:ascii="宋体" w:hAnsi="宋体"/>
                <w:sz w:val="24"/>
                <w:szCs w:val="24"/>
              </w:rPr>
              <w:t>http://www.anzhaobid.com</w:t>
            </w:r>
            <w:r>
              <w:rPr>
                <w:rStyle w:val="47"/>
                <w:rFonts w:ascii="宋体" w:hAnsi="宋体"/>
                <w:sz w:val="24"/>
                <w:szCs w:val="24"/>
              </w:rPr>
              <w:fldChar w:fldCharType="end"/>
            </w:r>
            <w:r>
              <w:rPr>
                <w:rFonts w:hint="eastAsia" w:ascii="宋体" w:hAnsi="宋体"/>
                <w:color w:val="000000" w:themeColor="text1"/>
                <w:sz w:val="24"/>
                <w:szCs w:val="24"/>
              </w:rPr>
              <w:t>（其他交易栏）</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招标文件售价：¥</w:t>
            </w:r>
            <w:r>
              <w:rPr>
                <w:rFonts w:ascii="宋体" w:hAnsi="宋体"/>
                <w:color w:val="000000" w:themeColor="text1"/>
                <w:sz w:val="24"/>
                <w:szCs w:val="24"/>
              </w:rPr>
              <w:t>600</w:t>
            </w:r>
            <w:r>
              <w:rPr>
                <w:rFonts w:hint="eastAsia" w:ascii="宋体" w:hAnsi="宋体"/>
                <w:color w:val="000000" w:themeColor="text1"/>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8</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ascii="宋体" w:hAnsi="宋体" w:eastAsia="宋体"/>
                <w:b/>
                <w:color w:val="000000" w:themeColor="text1"/>
                <w:sz w:val="24"/>
              </w:rPr>
              <w:t>*</w:t>
            </w:r>
            <w:r>
              <w:rPr>
                <w:rFonts w:hint="eastAsia" w:ascii="宋体" w:hAnsi="宋体" w:eastAsia="宋体"/>
                <w:b/>
                <w:color w:val="000000" w:themeColor="text1"/>
                <w:sz w:val="24"/>
              </w:rPr>
              <w:t>投标保证金</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投标保证金金额为预算金额</w:t>
            </w:r>
            <w:r>
              <w:rPr>
                <w:rFonts w:ascii="宋体" w:hAnsi="宋体"/>
                <w:color w:val="000000" w:themeColor="text1"/>
                <w:sz w:val="24"/>
                <w:szCs w:val="24"/>
              </w:rPr>
              <w:t>1.5%</w:t>
            </w:r>
            <w:r>
              <w:rPr>
                <w:rFonts w:hint="eastAsia" w:ascii="宋体" w:hAnsi="宋体"/>
                <w:color w:val="000000" w:themeColor="text1"/>
                <w:sz w:val="24"/>
                <w:szCs w:val="24"/>
              </w:rPr>
              <w:t>（¥48000.00）</w:t>
            </w:r>
            <w:r>
              <w:rPr>
                <w:rFonts w:ascii="宋体" w:hAnsi="宋体"/>
                <w:color w:val="000000" w:themeColor="text1"/>
                <w:sz w:val="24"/>
                <w:szCs w:val="24"/>
              </w:rPr>
              <w:t>。</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投标保证金形式：电汇或转账或银行保函或政府采购专业担保机构出具的投标担保函</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电汇或转账方式缴纳投标保证金必须在投标截止时间前汇到招标代理机构账户，否则投标被拒绝。投标人应于投标截止期前将全额</w:t>
            </w:r>
            <w:bookmarkStart w:id="164" w:name="_GoBack"/>
            <w:bookmarkEnd w:id="164"/>
            <w:r>
              <w:rPr>
                <w:rFonts w:hint="eastAsia" w:ascii="宋体" w:hAnsi="宋体"/>
                <w:color w:val="000000" w:themeColor="text1"/>
                <w:sz w:val="24"/>
                <w:szCs w:val="24"/>
              </w:rPr>
              <w:t>投标保证金转入下述指定账号，并应将“投标保证金电汇凭证</w:t>
            </w:r>
            <w:r>
              <w:rPr>
                <w:rFonts w:ascii="宋体" w:hAnsi="宋体"/>
                <w:color w:val="000000" w:themeColor="text1"/>
                <w:sz w:val="24"/>
                <w:szCs w:val="24"/>
              </w:rPr>
              <w:t>/保函</w:t>
            </w:r>
            <w:r>
              <w:rPr>
                <w:rFonts w:hint="eastAsia" w:ascii="宋体" w:hAnsi="宋体"/>
                <w:bCs/>
                <w:color w:val="000000" w:themeColor="text1"/>
                <w:sz w:val="24"/>
                <w:szCs w:val="24"/>
              </w:rPr>
              <w:t>原件</w:t>
            </w:r>
            <w:r>
              <w:rPr>
                <w:rFonts w:ascii="宋体" w:hAnsi="宋体"/>
                <w:color w:val="000000" w:themeColor="text1"/>
                <w:sz w:val="24"/>
                <w:szCs w:val="24"/>
              </w:rPr>
              <w:t>”单独密封，在投标时与“投标一览表”同时递交。</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人民币支付银行：</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 xml:space="preserve">开户名（全称）：安徽安兆工程技术咨询服务有限公司 </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开户银行：徽商银行合肥滨湖万达支行</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帐号：</w:t>
            </w:r>
            <w:r>
              <w:rPr>
                <w:rFonts w:hint="eastAsia" w:cs="仿宋_GB2312"/>
                <w:bCs/>
                <w:color w:val="000000" w:themeColor="text1"/>
                <w:sz w:val="24"/>
              </w:rPr>
              <w:t>520819931701000002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9</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ascii="宋体" w:hAnsi="宋体" w:eastAsia="宋体"/>
                <w:b/>
                <w:color w:val="000000" w:themeColor="text1"/>
                <w:sz w:val="24"/>
              </w:rPr>
              <w:t>*</w:t>
            </w:r>
            <w:r>
              <w:rPr>
                <w:rFonts w:hint="eastAsia" w:ascii="宋体" w:hAnsi="宋体" w:eastAsia="宋体"/>
                <w:b/>
                <w:color w:val="000000" w:themeColor="text1"/>
                <w:sz w:val="24"/>
              </w:rPr>
              <w:t>投标文件份数</w:t>
            </w:r>
          </w:p>
        </w:tc>
        <w:tc>
          <w:tcPr>
            <w:tcW w:w="6521" w:type="dxa"/>
            <w:vAlign w:val="center"/>
          </w:tcPr>
          <w:p>
            <w:pPr>
              <w:pStyle w:val="2"/>
              <w:tabs>
                <w:tab w:val="left" w:pos="0"/>
              </w:tabs>
              <w:adjustRightInd w:val="0"/>
              <w:snapToGrid w:val="0"/>
              <w:ind w:firstLine="0" w:firstLineChars="0"/>
              <w:rPr>
                <w:rFonts w:ascii="宋体" w:hAnsi="宋体" w:eastAsia="宋体"/>
                <w:sz w:val="24"/>
              </w:rPr>
            </w:pPr>
            <w:r>
              <w:rPr>
                <w:rFonts w:hint="eastAsia" w:ascii="宋体" w:hAnsi="宋体" w:eastAsia="宋体"/>
                <w:color w:val="000000" w:themeColor="text1"/>
                <w:sz w:val="24"/>
              </w:rPr>
              <w:t>商务卷，内含投标函、项目报价表、分项报价表和法人授权书</w:t>
            </w:r>
            <w:bookmarkStart w:id="8" w:name="_Hlk42204136"/>
            <w:r>
              <w:rPr>
                <w:rFonts w:hint="eastAsia" w:ascii="宋体" w:hAnsi="宋体" w:eastAsia="宋体"/>
                <w:color w:val="000000" w:themeColor="text1"/>
                <w:sz w:val="24"/>
              </w:rPr>
              <w:t>（如为联合体投标的还应提供联合协议，联合协议须载明联合体各方承担的工作和义务）</w:t>
            </w:r>
            <w:bookmarkEnd w:id="8"/>
            <w:r>
              <w:rPr>
                <w:rFonts w:hint="eastAsia" w:ascii="宋体" w:hAnsi="宋体" w:eastAsia="宋体"/>
                <w:color w:val="000000" w:themeColor="text1"/>
                <w:sz w:val="24"/>
              </w:rPr>
              <w:t>各</w:t>
            </w:r>
            <w:r>
              <w:rPr>
                <w:rFonts w:hint="eastAsia" w:ascii="宋体" w:hAnsi="宋体" w:eastAsia="宋体"/>
                <w:sz w:val="24"/>
              </w:rPr>
              <w:t>一正三副。</w:t>
            </w:r>
          </w:p>
          <w:p>
            <w:pPr>
              <w:pStyle w:val="2"/>
              <w:tabs>
                <w:tab w:val="left" w:pos="0"/>
              </w:tabs>
              <w:adjustRightInd w:val="0"/>
              <w:snapToGrid w:val="0"/>
              <w:ind w:firstLine="0" w:firstLineChars="0"/>
              <w:rPr>
                <w:rFonts w:ascii="宋体" w:hAnsi="宋体" w:eastAsia="宋体"/>
                <w:sz w:val="24"/>
              </w:rPr>
            </w:pPr>
            <w:r>
              <w:rPr>
                <w:rFonts w:hint="eastAsia" w:ascii="宋体" w:hAnsi="宋体" w:eastAsia="宋体"/>
                <w:sz w:val="24"/>
              </w:rPr>
              <w:t>技术卷袋，内含投标文件技术卷一正六副。</w:t>
            </w:r>
          </w:p>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sz w:val="24"/>
              </w:rPr>
              <w:t>资质卷袋，内含投标文件资质卷一正六副</w:t>
            </w:r>
            <w:r>
              <w:rPr>
                <w:rFonts w:hint="eastAsia" w:ascii="宋体" w:hAnsi="宋体" w:eastAsia="宋体"/>
                <w:color w:val="000000" w:themeColor="text1"/>
                <w:sz w:val="24"/>
              </w:rPr>
              <w:t>。</w:t>
            </w:r>
          </w:p>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color w:val="000000" w:themeColor="text1"/>
                <w:sz w:val="24"/>
              </w:rPr>
              <w:t>另提供电子版</w:t>
            </w:r>
            <w:r>
              <w:rPr>
                <w:rFonts w:ascii="宋体" w:hAnsi="宋体" w:eastAsia="宋体"/>
                <w:color w:val="000000" w:themeColor="text1"/>
                <w:sz w:val="24"/>
              </w:rPr>
              <w:t>1份（投标文件电子版为投标文件打印前word格式文件</w:t>
            </w:r>
            <w:r>
              <w:rPr>
                <w:rFonts w:hint="eastAsia" w:ascii="宋体" w:hAnsi="宋体" w:eastAsia="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10</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ascii="宋体" w:hAnsi="宋体" w:eastAsia="宋体"/>
                <w:b/>
                <w:color w:val="000000" w:themeColor="text1"/>
                <w:sz w:val="24"/>
              </w:rPr>
              <w:t>*</w:t>
            </w:r>
            <w:r>
              <w:rPr>
                <w:rFonts w:hint="eastAsia" w:ascii="宋体" w:hAnsi="宋体" w:eastAsia="宋体"/>
                <w:b/>
                <w:color w:val="000000" w:themeColor="text1"/>
                <w:sz w:val="24"/>
              </w:rPr>
              <w:t>投标有效期</w:t>
            </w:r>
          </w:p>
        </w:tc>
        <w:tc>
          <w:tcPr>
            <w:tcW w:w="6521" w:type="dxa"/>
            <w:vAlign w:val="center"/>
          </w:tcPr>
          <w:p>
            <w:pPr>
              <w:pStyle w:val="2"/>
              <w:tabs>
                <w:tab w:val="left" w:pos="0"/>
              </w:tabs>
              <w:adjustRightInd w:val="0"/>
              <w:snapToGrid w:val="0"/>
              <w:ind w:firstLine="0" w:firstLineChars="0"/>
              <w:rPr>
                <w:rFonts w:ascii="宋体" w:hAnsi="宋体" w:eastAsia="宋体"/>
                <w:color w:val="000000" w:themeColor="text1"/>
                <w:sz w:val="24"/>
              </w:rPr>
            </w:pPr>
            <w:r>
              <w:rPr>
                <w:rFonts w:ascii="宋体" w:hAnsi="宋体" w:eastAsia="宋体"/>
                <w:color w:val="000000" w:themeColor="text1"/>
                <w:sz w:val="24"/>
              </w:rPr>
              <w:t>45</w:t>
            </w:r>
            <w:r>
              <w:rPr>
                <w:rFonts w:hint="eastAsia" w:ascii="宋体" w:hAnsi="宋体" w:eastAsia="宋体"/>
                <w:color w:val="000000" w:themeColor="text1"/>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11</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投标文件递交</w:t>
            </w:r>
          </w:p>
        </w:tc>
        <w:tc>
          <w:tcPr>
            <w:tcW w:w="6521" w:type="dxa"/>
            <w:vAlign w:val="center"/>
          </w:tcPr>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投标文件递交地点：安徽省合肥市滨湖新区徽州大道与云谷路交口西北角淮河科研中心12楼第一会议室</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投标文件递交截止时间：</w:t>
            </w:r>
            <w:r>
              <w:rPr>
                <w:rFonts w:hint="eastAsia" w:ascii="宋体" w:hAnsi="宋体"/>
                <w:color w:val="000000" w:themeColor="text1"/>
                <w:sz w:val="24"/>
              </w:rPr>
              <w:t>2020年8月3日9:30（北京时间）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12</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开标</w:t>
            </w:r>
          </w:p>
        </w:tc>
        <w:tc>
          <w:tcPr>
            <w:tcW w:w="6521" w:type="dxa"/>
            <w:vAlign w:val="center"/>
          </w:tcPr>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color w:val="000000" w:themeColor="text1"/>
                <w:sz w:val="24"/>
              </w:rPr>
              <w:t>开标时间：2020年8月3日9:30（北京时间）</w:t>
            </w:r>
          </w:p>
          <w:p>
            <w:pPr>
              <w:pStyle w:val="2"/>
              <w:tabs>
                <w:tab w:val="left" w:pos="0"/>
              </w:tabs>
              <w:adjustRightInd w:val="0"/>
              <w:snapToGrid w:val="0"/>
              <w:ind w:firstLine="0" w:firstLineChars="0"/>
              <w:rPr>
                <w:rFonts w:ascii="宋体" w:hAnsi="宋体"/>
                <w:color w:val="000000" w:themeColor="text1"/>
                <w:sz w:val="24"/>
              </w:rPr>
            </w:pPr>
            <w:r>
              <w:rPr>
                <w:rFonts w:hint="eastAsia" w:ascii="宋体" w:hAnsi="宋体" w:eastAsia="宋体"/>
                <w:color w:val="000000" w:themeColor="text1"/>
                <w:sz w:val="24"/>
              </w:rPr>
              <w:t>开标地点：安徽省合肥市滨湖新区徽州大道与云谷路交口西北角淮河科研中心12楼第一会议室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13</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评标办法</w:t>
            </w:r>
          </w:p>
        </w:tc>
        <w:tc>
          <w:tcPr>
            <w:tcW w:w="6521" w:type="dxa"/>
            <w:vAlign w:val="center"/>
          </w:tcPr>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color w:val="000000" w:themeColor="text1"/>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bookmarkStart w:id="9" w:name="_Hlk42197818"/>
            <w:r>
              <w:rPr>
                <w:rFonts w:ascii="宋体" w:hAnsi="宋体" w:eastAsia="宋体"/>
                <w:b/>
                <w:color w:val="000000" w:themeColor="text1"/>
                <w:sz w:val="24"/>
              </w:rPr>
              <w:t>14</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ascii="宋体" w:hAnsi="宋体" w:eastAsia="宋体"/>
                <w:b/>
                <w:color w:val="000000" w:themeColor="text1"/>
                <w:sz w:val="24"/>
              </w:rPr>
              <w:t>*投标无效的情形</w:t>
            </w:r>
          </w:p>
        </w:tc>
        <w:tc>
          <w:tcPr>
            <w:tcW w:w="6521" w:type="dxa"/>
            <w:vAlign w:val="center"/>
          </w:tcPr>
          <w:p>
            <w:pPr>
              <w:pStyle w:val="2"/>
              <w:tabs>
                <w:tab w:val="left" w:pos="0"/>
              </w:tabs>
              <w:adjustRightInd w:val="0"/>
              <w:snapToGrid w:val="0"/>
              <w:ind w:firstLine="0" w:firstLineChars="0"/>
              <w:rPr>
                <w:rFonts w:ascii="宋体" w:hAnsi="宋体" w:eastAsia="宋体"/>
                <w:b/>
                <w:bCs/>
                <w:color w:val="000000" w:themeColor="text1"/>
                <w:sz w:val="24"/>
              </w:rPr>
            </w:pPr>
            <w:r>
              <w:rPr>
                <w:rFonts w:hint="eastAsia" w:ascii="宋体" w:hAnsi="宋体" w:eastAsia="宋体"/>
                <w:b/>
                <w:bCs/>
                <w:color w:val="000000" w:themeColor="text1"/>
                <w:sz w:val="24"/>
              </w:rPr>
              <w:t>投标无效的情形：</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1、投标人未提交投标保证金或形式不符或金额不足的；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 xml:space="preserve">2、投标有效期不足的； </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3、投标文件未按照招标文件规定要求制作、密封、签署、盖</w:t>
            </w:r>
            <w:r>
              <w:rPr>
                <w:rFonts w:hint="eastAsia" w:ascii="宋体" w:hAnsi="宋体" w:eastAsia="宋体"/>
                <w:b/>
                <w:bCs/>
                <w:color w:val="000000" w:themeColor="text1"/>
                <w:sz w:val="24"/>
              </w:rPr>
              <w:t>章的；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4、未提供法定代表人授权书的</w:t>
            </w:r>
            <w:r>
              <w:rPr>
                <w:rFonts w:hint="eastAsia" w:ascii="宋体" w:hAnsi="宋体" w:eastAsia="宋体"/>
                <w:b/>
                <w:bCs/>
                <w:color w:val="000000" w:themeColor="text1"/>
                <w:sz w:val="24"/>
              </w:rPr>
              <w:t>（如果所有投标文件均由单位法定代表人直接签署，可不提供本文件）</w:t>
            </w:r>
            <w:r>
              <w:rPr>
                <w:rFonts w:ascii="宋体" w:hAnsi="宋体" w:eastAsia="宋体"/>
                <w:b/>
                <w:bCs/>
                <w:color w:val="000000" w:themeColor="text1"/>
                <w:sz w:val="24"/>
              </w:rPr>
              <w:t>；</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5、投标人有违法违纪行为，被列入失信被执行人、重大税收违法案件当事人名单、政府采购严重违法失信行为记录名单的；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6、投标文件中提供虚假或失实资料的；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7、报价超过招标文件中规定的预算金额或者最高限价的；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8、投标人报价明显低于其他有效报价，有可能影响产品质量或不能诚信履约，但经要求在评标现场合理时间内未提供书面说明或书面说明不能证明报价合理性的；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9、不符合法律、法规和招标文件中*号条款规定的。</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10有下列情形之一的，视为投标人串通投标，其投标无效：</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10.1不同投标人的投标文件由同一单位或者个人编制；</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10.2不同投标人委托同一单位或者个人办理投标事宜；</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10.3不同投标人的投标文件载明的项目管理成员或者联系人员为同一人；</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10.4不同投标人的投标文件异常一致或者投标报价呈规律性差异；</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10.5不同投标人的投标文件相互混装；</w:t>
            </w:r>
          </w:p>
          <w:p>
            <w:pPr>
              <w:pStyle w:val="2"/>
              <w:tabs>
                <w:tab w:val="left" w:pos="0"/>
              </w:tabs>
              <w:adjustRightInd w:val="0"/>
              <w:snapToGrid w:val="0"/>
              <w:ind w:firstLine="0" w:firstLineChars="0"/>
              <w:rPr>
                <w:rFonts w:ascii="宋体" w:hAnsi="宋体" w:eastAsia="宋体"/>
                <w:b/>
                <w:bCs/>
                <w:color w:val="000000" w:themeColor="text1"/>
                <w:sz w:val="24"/>
              </w:rPr>
            </w:pPr>
            <w:r>
              <w:rPr>
                <w:rFonts w:ascii="宋体" w:hAnsi="宋体" w:eastAsia="宋体"/>
                <w:b/>
                <w:bCs/>
                <w:color w:val="000000" w:themeColor="text1"/>
                <w:sz w:val="24"/>
              </w:rPr>
              <w:t>10.6不同投标人的投标保证金从同一单位或者个人的账户转出。</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15</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中标服务费</w:t>
            </w:r>
          </w:p>
        </w:tc>
        <w:tc>
          <w:tcPr>
            <w:tcW w:w="6521" w:type="dxa"/>
            <w:vAlign w:val="center"/>
          </w:tcPr>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color w:val="000000" w:themeColor="text1"/>
                <w:sz w:val="24"/>
              </w:rPr>
              <w:t>中标通知书发出后</w:t>
            </w:r>
            <w:r>
              <w:rPr>
                <w:rFonts w:ascii="宋体" w:hAnsi="宋体" w:eastAsia="宋体"/>
                <w:color w:val="000000" w:themeColor="text1"/>
                <w:sz w:val="24"/>
              </w:rPr>
              <w:t>14个工作日内，中标供应商需按照国家计委关于《招标代理服务收费管理暂行办法》（计价格[2002]1980）中的收费标准向招标代理支付中标服务费。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16</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ascii="宋体" w:hAnsi="宋体" w:eastAsia="宋体"/>
                <w:b/>
                <w:color w:val="000000" w:themeColor="text1"/>
                <w:sz w:val="24"/>
              </w:rPr>
              <w:t>*</w:t>
            </w:r>
            <w:r>
              <w:rPr>
                <w:rFonts w:hint="eastAsia" w:ascii="宋体" w:hAnsi="宋体" w:eastAsia="宋体"/>
                <w:b/>
                <w:color w:val="000000" w:themeColor="text1"/>
                <w:sz w:val="24"/>
              </w:rPr>
              <w:t>投标报价</w:t>
            </w:r>
          </w:p>
        </w:tc>
        <w:tc>
          <w:tcPr>
            <w:tcW w:w="6521" w:type="dxa"/>
            <w:vAlign w:val="center"/>
          </w:tcPr>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color w:val="000000" w:themeColor="text1"/>
                <w:sz w:val="24"/>
              </w:rPr>
              <w:t>最高限价为320.26</w:t>
            </w:r>
            <w:r>
              <w:rPr>
                <w:rFonts w:ascii="宋体" w:hAnsi="宋体" w:eastAsia="宋体"/>
                <w:color w:val="000000" w:themeColor="text1"/>
                <w:sz w:val="24"/>
              </w:rPr>
              <w:t>万元</w:t>
            </w:r>
            <w:r>
              <w:rPr>
                <w:rFonts w:hint="eastAsia" w:ascii="宋体" w:hAnsi="宋体" w:eastAsia="宋体"/>
                <w:color w:val="000000" w:themeColor="text1"/>
                <w:sz w:val="24"/>
              </w:rPr>
              <w:t>，</w:t>
            </w:r>
            <w:r>
              <w:rPr>
                <w:rFonts w:hint="eastAsia" w:ascii="宋体" w:hAnsi="宋体" w:eastAsia="宋体"/>
                <w:sz w:val="24"/>
              </w:rPr>
              <w:t>其中地下水监测运维经费</w:t>
            </w:r>
            <w:r>
              <w:rPr>
                <w:rFonts w:ascii="宋体" w:hAnsi="宋体" w:eastAsia="宋体"/>
                <w:sz w:val="24"/>
              </w:rPr>
              <w:t>109.47万元</w:t>
            </w:r>
            <w:r>
              <w:rPr>
                <w:rFonts w:hint="eastAsia" w:ascii="宋体" w:hAnsi="宋体" w:eastAsia="宋体"/>
                <w:sz w:val="24"/>
              </w:rPr>
              <w:t>，水质监测经费</w:t>
            </w:r>
            <w:r>
              <w:rPr>
                <w:rFonts w:ascii="宋体" w:hAnsi="宋体" w:eastAsia="宋体"/>
                <w:sz w:val="24"/>
              </w:rPr>
              <w:t>210.79万元。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0" w:type="dxa"/>
            <w:vAlign w:val="center"/>
          </w:tcPr>
          <w:p>
            <w:pPr>
              <w:pStyle w:val="2"/>
              <w:tabs>
                <w:tab w:val="left" w:pos="0"/>
              </w:tabs>
              <w:adjustRightInd w:val="0"/>
              <w:snapToGrid w:val="0"/>
              <w:ind w:firstLine="0" w:firstLineChars="0"/>
              <w:jc w:val="center"/>
              <w:rPr>
                <w:rFonts w:ascii="宋体" w:hAnsi="宋体" w:eastAsia="宋体"/>
                <w:b/>
                <w:color w:val="000000" w:themeColor="text1"/>
                <w:sz w:val="24"/>
              </w:rPr>
            </w:pPr>
            <w:r>
              <w:rPr>
                <w:rFonts w:ascii="宋体" w:hAnsi="宋体" w:eastAsia="宋体"/>
                <w:b/>
                <w:color w:val="000000" w:themeColor="text1"/>
                <w:sz w:val="24"/>
              </w:rPr>
              <w:t>17</w:t>
            </w:r>
          </w:p>
        </w:tc>
        <w:tc>
          <w:tcPr>
            <w:tcW w:w="1702" w:type="dxa"/>
            <w:vAlign w:val="center"/>
          </w:tcPr>
          <w:p>
            <w:pPr>
              <w:pStyle w:val="2"/>
              <w:tabs>
                <w:tab w:val="left" w:pos="0"/>
              </w:tabs>
              <w:adjustRightInd w:val="0"/>
              <w:snapToGrid w:val="0"/>
              <w:ind w:firstLine="0" w:firstLineChars="0"/>
              <w:rPr>
                <w:rFonts w:ascii="宋体" w:hAnsi="宋体" w:eastAsia="宋体"/>
                <w:b/>
                <w:color w:val="000000" w:themeColor="text1"/>
                <w:sz w:val="24"/>
              </w:rPr>
            </w:pPr>
            <w:r>
              <w:rPr>
                <w:rFonts w:hint="eastAsia" w:ascii="宋体" w:hAnsi="宋体" w:eastAsia="宋体"/>
                <w:b/>
                <w:color w:val="000000" w:themeColor="text1"/>
                <w:sz w:val="24"/>
              </w:rPr>
              <w:t>其它说明</w:t>
            </w:r>
          </w:p>
        </w:tc>
        <w:tc>
          <w:tcPr>
            <w:tcW w:w="6521" w:type="dxa"/>
            <w:vAlign w:val="center"/>
          </w:tcPr>
          <w:p>
            <w:pPr>
              <w:pStyle w:val="2"/>
              <w:tabs>
                <w:tab w:val="left" w:pos="0"/>
              </w:tabs>
              <w:adjustRightInd w:val="0"/>
              <w:snapToGrid w:val="0"/>
              <w:ind w:firstLine="0" w:firstLineChars="0"/>
              <w:rPr>
                <w:rFonts w:ascii="宋体" w:hAnsi="宋体" w:eastAsia="宋体"/>
                <w:color w:val="000000" w:themeColor="text1"/>
                <w:sz w:val="24"/>
              </w:rPr>
            </w:pPr>
            <w:r>
              <w:rPr>
                <w:rFonts w:hint="eastAsia" w:ascii="宋体" w:hAnsi="宋体" w:eastAsia="宋体"/>
                <w:color w:val="000000" w:themeColor="text1"/>
                <w:sz w:val="24"/>
              </w:rPr>
              <w:t>安徽省水文局受水利部信息中心委托对项目实施监督管理，并协助指认现场。</w:t>
            </w:r>
          </w:p>
        </w:tc>
      </w:tr>
    </w:tbl>
    <w:p>
      <w:pPr>
        <w:adjustRightInd w:val="0"/>
        <w:snapToGrid w:val="0"/>
        <w:rPr>
          <w:rFonts w:ascii="宋体" w:hAnsi="宋体"/>
          <w:color w:val="000000" w:themeColor="text1"/>
          <w:sz w:val="24"/>
          <w:szCs w:val="24"/>
        </w:rPr>
      </w:pPr>
      <w:r>
        <w:rPr>
          <w:rFonts w:ascii="宋体" w:hAnsi="宋体"/>
          <w:color w:val="000000" w:themeColor="text1"/>
          <w:sz w:val="24"/>
          <w:szCs w:val="24"/>
        </w:rPr>
        <w:t>说明：</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1.本前附表是对投标人须知的修改、补充和摘要，其内容与投标人须知不一致时，以本前附表为准。</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2.以上内容如有变化将另行通知，如通知其中某一内容发生变化，其余未提及的将不作变动。</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3.本招标文件未尽事宜按国家现行规定执行。</w:t>
      </w:r>
    </w:p>
    <w:p>
      <w:pPr>
        <w:adjustRightInd w:val="0"/>
        <w:snapToGrid w:val="0"/>
        <w:rPr>
          <w:rFonts w:ascii="宋体" w:hAnsi="宋体"/>
          <w:color w:val="000000" w:themeColor="text1"/>
          <w:sz w:val="24"/>
          <w:szCs w:val="24"/>
        </w:rPr>
      </w:pPr>
      <w:r>
        <w:rPr>
          <w:rFonts w:hint="eastAsia" w:ascii="宋体" w:hAnsi="宋体"/>
          <w:color w:val="000000" w:themeColor="text1"/>
          <w:sz w:val="24"/>
          <w:szCs w:val="24"/>
        </w:rPr>
        <w:t>注</w:t>
      </w:r>
      <w:r>
        <w:rPr>
          <w:rFonts w:ascii="宋体" w:hAnsi="宋体"/>
          <w:color w:val="000000" w:themeColor="text1"/>
          <w:sz w:val="24"/>
          <w:szCs w:val="24"/>
        </w:rPr>
        <w:t>1：</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1）信用信息查询渠道：“信用中国”网站（www.creditchina.gov.cn）、中国政府采购网（www.ccgp.gov.cn）</w:t>
      </w:r>
      <w:r>
        <w:rPr>
          <w:rFonts w:hint="eastAsia" w:ascii="宋体" w:hAnsi="宋体"/>
          <w:color w:val="000000" w:themeColor="text1"/>
          <w:sz w:val="24"/>
          <w:szCs w:val="24"/>
        </w:rPr>
        <w:t>等</w:t>
      </w:r>
      <w:r>
        <w:rPr>
          <w:rFonts w:ascii="宋体" w:hAnsi="宋体"/>
          <w:color w:val="000000" w:themeColor="text1"/>
          <w:sz w:val="24"/>
          <w:szCs w:val="24"/>
        </w:rPr>
        <w:t>。</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2）信用信息查询截止时点：同投标截止期，即查询投标人截止到投标截止期的信用信息记录。</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3）信用信息查询记录和证据留存的具体方式：信用信息查询记录将以网站截图打印稿形式与其他采购文件一并保存。</w:t>
      </w:r>
    </w:p>
    <w:p>
      <w:pPr>
        <w:adjustRightInd w:val="0"/>
        <w:snapToGrid w:val="0"/>
        <w:ind w:firstLine="480" w:firstLineChars="200"/>
        <w:rPr>
          <w:rFonts w:ascii="宋体" w:hAnsi="宋体"/>
          <w:color w:val="000000" w:themeColor="text1"/>
          <w:sz w:val="24"/>
          <w:szCs w:val="24"/>
        </w:rPr>
      </w:pPr>
      <w:r>
        <w:rPr>
          <w:rFonts w:ascii="宋体" w:hAnsi="宋体"/>
          <w:color w:val="000000" w:themeColor="text1"/>
          <w:sz w:val="24"/>
          <w:szCs w:val="24"/>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p>
    <w:p>
      <w:pPr>
        <w:pStyle w:val="3"/>
        <w:spacing w:before="0" w:after="0" w:line="360" w:lineRule="auto"/>
        <w:jc w:val="center"/>
        <w:rPr>
          <w:rFonts w:ascii="宋体" w:hAnsi="宋体"/>
          <w:color w:val="000000" w:themeColor="text1"/>
          <w:kern w:val="2"/>
          <w:sz w:val="36"/>
          <w:szCs w:val="36"/>
        </w:rPr>
      </w:pPr>
      <w:r>
        <w:rPr>
          <w:rFonts w:ascii="华文中宋" w:hAnsi="华文中宋" w:eastAsia="华文中宋"/>
          <w:b w:val="0"/>
          <w:color w:val="000000" w:themeColor="text1"/>
          <w:sz w:val="18"/>
          <w:szCs w:val="18"/>
        </w:rPr>
        <w:br w:type="page"/>
      </w:r>
      <w:bookmarkStart w:id="10" w:name="_Toc42206678"/>
      <w:bookmarkStart w:id="11" w:name="_Toc9572"/>
      <w:bookmarkStart w:id="12" w:name="_Toc414384902"/>
      <w:r>
        <w:rPr>
          <w:rFonts w:hint="eastAsia" w:ascii="宋体" w:hAnsi="宋体"/>
          <w:color w:val="000000" w:themeColor="text1"/>
          <w:kern w:val="2"/>
          <w:sz w:val="36"/>
          <w:szCs w:val="36"/>
        </w:rPr>
        <w:t>招标文件</w:t>
      </w:r>
      <w:r>
        <w:rPr>
          <w:rFonts w:ascii="宋体" w:hAnsi="宋体"/>
          <w:color w:val="000000" w:themeColor="text1"/>
          <w:kern w:val="2"/>
          <w:sz w:val="36"/>
          <w:szCs w:val="36"/>
        </w:rPr>
        <w:t>1：招标公告</w:t>
      </w:r>
      <w:bookmarkEnd w:id="10"/>
      <w:bookmarkEnd w:id="11"/>
    </w:p>
    <w:p>
      <w:pPr>
        <w:pStyle w:val="37"/>
        <w:snapToGrid w:val="0"/>
        <w:spacing w:line="300" w:lineRule="auto"/>
        <w:ind w:firstLine="480" w:firstLineChars="200"/>
        <w:rPr>
          <w:color w:val="000000" w:themeColor="text1"/>
        </w:rPr>
      </w:pPr>
      <w:r>
        <w:rPr>
          <w:rFonts w:hint="eastAsia"/>
          <w:color w:val="000000" w:themeColor="text1"/>
        </w:rPr>
        <w:t>安徽安兆工程技术咨询服务有限公司受采购人水利部信息中心委托的采购人安徽省水文局（以下简称“委托采购人”）的委托，根据《中华人民共和国政府采购法》等有关规定，现对</w:t>
      </w:r>
      <w:r>
        <w:rPr>
          <w:color w:val="000000" w:themeColor="text1"/>
          <w:szCs w:val="20"/>
          <w:u w:val="single"/>
        </w:rPr>
        <w:t>2020年</w:t>
      </w:r>
      <w:r>
        <w:rPr>
          <w:rFonts w:hint="eastAsia"/>
          <w:color w:val="000000" w:themeColor="text1"/>
          <w:szCs w:val="20"/>
          <w:u w:val="single"/>
        </w:rPr>
        <w:t>安徽</w:t>
      </w:r>
      <w:r>
        <w:rPr>
          <w:color w:val="000000" w:themeColor="text1"/>
          <w:szCs w:val="20"/>
          <w:u w:val="single"/>
        </w:rPr>
        <w:t>省国家地下水监测工程（水利部分）</w:t>
      </w:r>
      <w:r>
        <w:rPr>
          <w:rFonts w:hint="eastAsia"/>
          <w:color w:val="000000" w:themeColor="text1"/>
          <w:szCs w:val="20"/>
          <w:u w:val="single"/>
        </w:rPr>
        <w:t>监测系统运行维护</w:t>
      </w:r>
      <w:bookmarkStart w:id="13" w:name="_Hlk7957848"/>
      <w:r>
        <w:rPr>
          <w:rFonts w:hint="eastAsia"/>
          <w:color w:val="000000" w:themeColor="text1"/>
          <w:szCs w:val="20"/>
          <w:u w:val="single"/>
        </w:rPr>
        <w:t>和地下水水质监测项目</w:t>
      </w:r>
      <w:bookmarkEnd w:id="13"/>
      <w:r>
        <w:rPr>
          <w:rFonts w:hint="eastAsia"/>
          <w:color w:val="000000" w:themeColor="text1"/>
        </w:rPr>
        <w:t>进行公开招标，欢迎合格的供应商前来投标。</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项目名称：</w:t>
      </w:r>
      <w:r>
        <w:rPr>
          <w:color w:val="000000" w:themeColor="text1"/>
          <w:szCs w:val="20"/>
          <w:u w:val="single"/>
        </w:rPr>
        <w:t>2020年</w:t>
      </w:r>
      <w:r>
        <w:rPr>
          <w:rFonts w:hint="eastAsia"/>
          <w:color w:val="000000" w:themeColor="text1"/>
          <w:szCs w:val="20"/>
          <w:u w:val="single"/>
        </w:rPr>
        <w:t>安徽</w:t>
      </w:r>
      <w:r>
        <w:rPr>
          <w:color w:val="000000" w:themeColor="text1"/>
          <w:szCs w:val="20"/>
          <w:u w:val="single"/>
        </w:rPr>
        <w:t>省国家地下水监测工程（水利部分）</w:t>
      </w:r>
      <w:r>
        <w:rPr>
          <w:rFonts w:hint="eastAsia"/>
          <w:color w:val="000000" w:themeColor="text1"/>
          <w:szCs w:val="20"/>
          <w:u w:val="single"/>
        </w:rPr>
        <w:t>监测系统运行维护</w:t>
      </w:r>
      <w:r>
        <w:rPr>
          <w:color w:val="000000" w:themeColor="text1"/>
          <w:szCs w:val="20"/>
          <w:u w:val="single"/>
        </w:rPr>
        <w:t>和地下水水质监测项目</w:t>
      </w:r>
    </w:p>
    <w:p>
      <w:pPr>
        <w:pStyle w:val="37"/>
        <w:adjustRightInd w:val="0"/>
        <w:snapToGrid w:val="0"/>
        <w:spacing w:before="0" w:beforeAutospacing="0" w:after="0" w:afterAutospacing="0" w:line="360" w:lineRule="auto"/>
        <w:ind w:firstLine="482" w:firstLineChars="200"/>
        <w:rPr>
          <w:rStyle w:val="44"/>
          <w:color w:val="000000" w:themeColor="text1"/>
        </w:rPr>
      </w:pPr>
      <w:r>
        <w:rPr>
          <w:rStyle w:val="44"/>
          <w:rFonts w:hint="eastAsia"/>
          <w:color w:val="000000" w:themeColor="text1"/>
        </w:rPr>
        <w:t>项目编号：</w:t>
      </w:r>
      <w:r>
        <w:rPr>
          <w:rStyle w:val="44"/>
          <w:color w:val="000000" w:themeColor="text1"/>
        </w:rPr>
        <w:t>AZ20200713-FW0080001</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委托采购人联系方式：</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项目联系人：姚女士</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项目联系电话：0551-62128182</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代理机构联系方式：</w:t>
      </w:r>
    </w:p>
    <w:p>
      <w:pPr>
        <w:pStyle w:val="37"/>
        <w:adjustRightInd w:val="0"/>
        <w:snapToGrid w:val="0"/>
        <w:spacing w:before="0" w:beforeAutospacing="0" w:after="0" w:afterAutospacing="0" w:line="360" w:lineRule="auto"/>
        <w:ind w:firstLine="480" w:firstLineChars="200"/>
        <w:rPr>
          <w:color w:val="FF0000"/>
        </w:rPr>
      </w:pPr>
      <w:r>
        <w:rPr>
          <w:rFonts w:hint="eastAsia"/>
          <w:color w:val="000000" w:themeColor="text1"/>
        </w:rPr>
        <w:t>代理机构：安徽安兆工程技术咨询服务有限公司</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代理机构联系人：</w:t>
      </w:r>
      <w:r>
        <w:rPr>
          <w:color w:val="000000" w:themeColor="text1"/>
        </w:rPr>
        <w:t>王</w:t>
      </w:r>
      <w:r>
        <w:rPr>
          <w:rFonts w:hint="eastAsia"/>
          <w:color w:val="000000" w:themeColor="text1"/>
        </w:rPr>
        <w:t>工</w:t>
      </w:r>
    </w:p>
    <w:p>
      <w:pPr>
        <w:pStyle w:val="37"/>
        <w:adjustRightInd w:val="0"/>
        <w:snapToGrid w:val="0"/>
        <w:spacing w:before="0" w:beforeAutospacing="0" w:after="0" w:afterAutospacing="0" w:line="360" w:lineRule="auto"/>
        <w:ind w:firstLine="480" w:firstLineChars="200"/>
        <w:rPr>
          <w:bCs/>
          <w:szCs w:val="18"/>
        </w:rPr>
      </w:pPr>
      <w:r>
        <w:rPr>
          <w:rFonts w:hint="eastAsia"/>
          <w:color w:val="000000" w:themeColor="text1"/>
        </w:rPr>
        <w:t>代理机构地址：</w:t>
      </w:r>
      <w:r>
        <w:rPr>
          <w:rFonts w:hint="eastAsia"/>
          <w:bCs/>
          <w:szCs w:val="18"/>
        </w:rPr>
        <w:t>安徽省合肥市滨湖新区云谷路2588号</w:t>
      </w:r>
    </w:p>
    <w:p>
      <w:pPr>
        <w:pStyle w:val="37"/>
        <w:adjustRightInd w:val="0"/>
        <w:snapToGrid w:val="0"/>
        <w:spacing w:before="0" w:beforeAutospacing="0" w:after="0" w:afterAutospacing="0" w:line="360" w:lineRule="auto"/>
        <w:ind w:firstLine="480" w:firstLineChars="200"/>
        <w:rPr>
          <w:bCs/>
          <w:color w:val="000000" w:themeColor="text1"/>
          <w:szCs w:val="18"/>
        </w:rPr>
      </w:pPr>
      <w:r>
        <w:rPr>
          <w:rFonts w:hint="eastAsia"/>
          <w:bCs/>
          <w:color w:val="000000" w:themeColor="text1"/>
          <w:szCs w:val="18"/>
        </w:rPr>
        <w:t>代理机构电话：0551-65707329</w:t>
      </w:r>
    </w:p>
    <w:p>
      <w:pPr>
        <w:pStyle w:val="37"/>
        <w:adjustRightInd w:val="0"/>
        <w:snapToGrid w:val="0"/>
        <w:spacing w:before="0" w:beforeAutospacing="0" w:after="0" w:afterAutospacing="0" w:line="360" w:lineRule="auto"/>
        <w:ind w:firstLine="480" w:firstLineChars="200"/>
        <w:rPr>
          <w:rFonts w:cs="仿宋_GB2312"/>
          <w:bCs/>
          <w:color w:val="000000" w:themeColor="text1"/>
        </w:rPr>
      </w:pPr>
      <w:r>
        <w:rPr>
          <w:rFonts w:hint="eastAsia" w:cs="仿宋_GB2312"/>
          <w:bCs/>
          <w:color w:val="000000" w:themeColor="text1"/>
        </w:rPr>
        <w:t>账户名称：安徽安兆工程技术咨询服务有限公司</w:t>
      </w:r>
    </w:p>
    <w:p>
      <w:pPr>
        <w:pStyle w:val="37"/>
        <w:adjustRightInd w:val="0"/>
        <w:snapToGrid w:val="0"/>
        <w:spacing w:before="0" w:beforeAutospacing="0" w:after="0" w:afterAutospacing="0" w:line="360" w:lineRule="auto"/>
        <w:ind w:firstLine="480" w:firstLineChars="200"/>
        <w:rPr>
          <w:rFonts w:cs="仿宋_GB2312"/>
          <w:bCs/>
          <w:color w:val="000000" w:themeColor="text1"/>
        </w:rPr>
      </w:pPr>
      <w:r>
        <w:rPr>
          <w:rFonts w:hint="eastAsia" w:cs="仿宋_GB2312"/>
          <w:bCs/>
          <w:color w:val="000000" w:themeColor="text1"/>
        </w:rPr>
        <w:t>开户行：徽商银行合肥滨湖万达支行</w:t>
      </w:r>
    </w:p>
    <w:p>
      <w:pPr>
        <w:pStyle w:val="37"/>
        <w:adjustRightInd w:val="0"/>
        <w:snapToGrid w:val="0"/>
        <w:spacing w:before="0" w:beforeAutospacing="0" w:after="0" w:afterAutospacing="0" w:line="360" w:lineRule="auto"/>
        <w:ind w:firstLine="480" w:firstLineChars="200"/>
        <w:rPr>
          <w:rFonts w:cs="仿宋_GB2312"/>
          <w:bCs/>
          <w:color w:val="000000" w:themeColor="text1"/>
        </w:rPr>
      </w:pPr>
      <w:r>
        <w:rPr>
          <w:rFonts w:hint="eastAsia" w:cs="仿宋_GB2312"/>
          <w:bCs/>
          <w:color w:val="000000" w:themeColor="text1"/>
        </w:rPr>
        <w:t>账号：520819931701000002</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一、招标项目性质、任务及技术要求：</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根据《水利部办公厅关于做好</w:t>
      </w:r>
      <w:r>
        <w:rPr>
          <w:color w:val="000000" w:themeColor="text1"/>
        </w:rPr>
        <w:t>2020年国家地下水监测工程运行维护和地下水水质监测工作的通知》（办水文函[2020]203号）（以下简称“通知”）</w:t>
      </w:r>
      <w:r>
        <w:rPr>
          <w:rFonts w:hint="eastAsia"/>
          <w:color w:val="000000" w:themeColor="text1"/>
        </w:rPr>
        <w:t>等</w:t>
      </w:r>
      <w:r>
        <w:rPr>
          <w:color w:val="000000" w:themeColor="text1"/>
        </w:rPr>
        <w:t>要求，开展2020年</w:t>
      </w:r>
      <w:r>
        <w:rPr>
          <w:rFonts w:hint="eastAsia"/>
          <w:color w:val="000000" w:themeColor="text1"/>
        </w:rPr>
        <w:t>安徽</w:t>
      </w:r>
      <w:r>
        <w:rPr>
          <w:color w:val="000000" w:themeColor="text1"/>
        </w:rPr>
        <w:t>省国家地下水监测工程（水利部分）</w:t>
      </w:r>
      <w:r>
        <w:rPr>
          <w:rFonts w:hint="eastAsia"/>
          <w:color w:val="000000" w:themeColor="text1"/>
        </w:rPr>
        <w:t>监测系统</w:t>
      </w:r>
      <w:r>
        <w:rPr>
          <w:color w:val="000000" w:themeColor="text1"/>
        </w:rPr>
        <w:t>运行维护和地下水水质监测项目。</w:t>
      </w:r>
      <w:r>
        <w:rPr>
          <w:rFonts w:hint="eastAsia"/>
          <w:color w:val="000000" w:themeColor="text1"/>
        </w:rPr>
        <w:t>安徽</w:t>
      </w:r>
      <w:r>
        <w:rPr>
          <w:color w:val="000000" w:themeColor="text1"/>
        </w:rPr>
        <w:t>省国家地下水监测工程（水利部分）共有</w:t>
      </w:r>
      <w:r>
        <w:rPr>
          <w:rFonts w:hint="eastAsia"/>
          <w:color w:val="000000" w:themeColor="text1"/>
        </w:rPr>
        <w:t>390</w:t>
      </w:r>
      <w:r>
        <w:rPr>
          <w:color w:val="000000" w:themeColor="text1"/>
        </w:rPr>
        <w:t>个地下水监测站，分布在</w:t>
      </w:r>
      <w:r>
        <w:rPr>
          <w:rFonts w:hint="eastAsia"/>
          <w:color w:val="000000" w:themeColor="text1"/>
        </w:rPr>
        <w:t>16</w:t>
      </w:r>
      <w:r>
        <w:rPr>
          <w:color w:val="000000" w:themeColor="text1"/>
        </w:rPr>
        <w:t>个</w:t>
      </w:r>
      <w:r>
        <w:rPr>
          <w:rFonts w:hint="eastAsia"/>
          <w:color w:val="000000" w:themeColor="text1"/>
        </w:rPr>
        <w:t>地</w:t>
      </w:r>
      <w:r>
        <w:rPr>
          <w:color w:val="000000" w:themeColor="text1"/>
        </w:rPr>
        <w:t>市。具体工作任务和简要技术要求如下：</w:t>
      </w:r>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1、</w:t>
      </w:r>
      <w:r>
        <w:rPr>
          <w:rFonts w:hint="eastAsia"/>
          <w:color w:val="000000" w:themeColor="text1"/>
        </w:rPr>
        <w:t>390</w:t>
      </w:r>
      <w:r>
        <w:rPr>
          <w:color w:val="000000" w:themeColor="text1"/>
        </w:rPr>
        <w:t>个地下水监测站</w:t>
      </w:r>
      <w:r>
        <w:rPr>
          <w:rFonts w:hint="eastAsia"/>
          <w:color w:val="000000" w:themeColor="text1"/>
        </w:rPr>
        <w:t>全年信息报送。</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2、390个地下水监测站设施设备看护</w:t>
      </w:r>
      <w:r>
        <w:rPr>
          <w:color w:val="000000" w:themeColor="text1"/>
        </w:rPr>
        <w:t>。</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3</w:t>
      </w:r>
      <w:r>
        <w:rPr>
          <w:color w:val="000000" w:themeColor="text1"/>
        </w:rPr>
        <w:t>、</w:t>
      </w:r>
      <w:r>
        <w:rPr>
          <w:rFonts w:hint="eastAsia"/>
          <w:color w:val="000000" w:themeColor="text1"/>
        </w:rPr>
        <w:t>390</w:t>
      </w:r>
      <w:r>
        <w:rPr>
          <w:color w:val="000000" w:themeColor="text1"/>
        </w:rPr>
        <w:t>个地下水监测站自动监测仪器现场校测</w:t>
      </w:r>
      <w:r>
        <w:rPr>
          <w:rFonts w:hint="eastAsia"/>
          <w:color w:val="000000" w:themeColor="text1"/>
        </w:rPr>
        <w:t>（含井深测量）</w:t>
      </w:r>
      <w:r>
        <w:rPr>
          <w:color w:val="000000" w:themeColor="text1"/>
        </w:rPr>
        <w:t>。</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4、4个水质自动站监测仪器校测。</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5</w:t>
      </w:r>
      <w:r>
        <w:rPr>
          <w:color w:val="000000" w:themeColor="text1"/>
        </w:rPr>
        <w:t>、</w:t>
      </w:r>
      <w:r>
        <w:rPr>
          <w:rFonts w:hint="eastAsia"/>
          <w:color w:val="000000" w:themeColor="text1"/>
        </w:rPr>
        <w:t>390</w:t>
      </w:r>
      <w:r>
        <w:rPr>
          <w:color w:val="000000" w:themeColor="text1"/>
        </w:rPr>
        <w:t>个监测站自动监测仪器</w:t>
      </w:r>
      <w:r>
        <w:rPr>
          <w:rFonts w:hint="eastAsia"/>
          <w:color w:val="000000" w:themeColor="text1"/>
        </w:rPr>
        <w:t>通信保障和</w:t>
      </w:r>
      <w:r>
        <w:rPr>
          <w:color w:val="000000" w:themeColor="text1"/>
        </w:rPr>
        <w:t>故障处理。</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6、井口保护装置等附属设施养护维护。</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7</w:t>
      </w:r>
      <w:r>
        <w:rPr>
          <w:color w:val="000000" w:themeColor="text1"/>
        </w:rPr>
        <w:t>、</w:t>
      </w:r>
      <w:r>
        <w:rPr>
          <w:rFonts w:hint="eastAsia"/>
          <w:color w:val="000000" w:themeColor="text1"/>
        </w:rPr>
        <w:t>390</w:t>
      </w:r>
      <w:r>
        <w:rPr>
          <w:rFonts w:hint="eastAsia"/>
        </w:rPr>
        <w:t>个监测站2019年度地下水资料整编与刊印。</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8</w:t>
      </w:r>
      <w:r>
        <w:rPr>
          <w:color w:val="000000" w:themeColor="text1"/>
        </w:rPr>
        <w:t>、省市地下水监测中心</w:t>
      </w:r>
      <w:r>
        <w:rPr>
          <w:rFonts w:hint="eastAsia"/>
        </w:rPr>
        <w:t>系统</w:t>
      </w:r>
      <w:r>
        <w:rPr>
          <w:rFonts w:hint="eastAsia"/>
          <w:color w:val="000000" w:themeColor="text1"/>
        </w:rPr>
        <w:t>运行维护。</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9</w:t>
      </w:r>
      <w:r>
        <w:rPr>
          <w:color w:val="000000" w:themeColor="text1"/>
        </w:rPr>
        <w:t>、监测站自动监测设备故障处理技术支持。</w:t>
      </w:r>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10、提供省中心管理、市（地）分中心管理及故障处理所需交通工具及自动监测设备维护相应的备品备件。</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11、314个监测站采样前抽水等准备工作。</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12</w:t>
      </w:r>
      <w:r>
        <w:rPr>
          <w:color w:val="000000" w:themeColor="text1"/>
        </w:rPr>
        <w:t>、</w:t>
      </w:r>
      <w:r>
        <w:rPr>
          <w:rFonts w:hint="eastAsia"/>
          <w:color w:val="000000" w:themeColor="text1"/>
        </w:rPr>
        <w:t>314</w:t>
      </w:r>
      <w:r>
        <w:rPr>
          <w:color w:val="000000" w:themeColor="text1"/>
        </w:rPr>
        <w:t>个监测站</w:t>
      </w:r>
      <w:r>
        <w:rPr>
          <w:rFonts w:hint="eastAsia"/>
          <w:color w:val="000000" w:themeColor="text1"/>
        </w:rPr>
        <w:t>42</w:t>
      </w:r>
      <w:r>
        <w:rPr>
          <w:color w:val="000000" w:themeColor="text1"/>
        </w:rPr>
        <w:t>项、</w:t>
      </w:r>
      <w:r>
        <w:rPr>
          <w:rFonts w:hint="eastAsia"/>
        </w:rPr>
        <w:t>8</w:t>
      </w:r>
      <w:r>
        <w:rPr>
          <w:rFonts w:hint="eastAsia"/>
          <w:color w:val="000000" w:themeColor="text1"/>
        </w:rPr>
        <w:t>个同步监测站</w:t>
      </w:r>
      <w:r>
        <w:rPr>
          <w:color w:val="000000" w:themeColor="text1"/>
        </w:rPr>
        <w:t>93项的水质采样。</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13</w:t>
      </w:r>
      <w:r>
        <w:rPr>
          <w:color w:val="000000" w:themeColor="text1"/>
        </w:rPr>
        <w:t>、</w:t>
      </w:r>
      <w:r>
        <w:rPr>
          <w:rFonts w:hint="eastAsia"/>
          <w:color w:val="000000" w:themeColor="text1"/>
        </w:rPr>
        <w:t>314</w:t>
      </w:r>
      <w:r>
        <w:rPr>
          <w:color w:val="000000" w:themeColor="text1"/>
        </w:rPr>
        <w:t>个监测站</w:t>
      </w:r>
      <w:r>
        <w:rPr>
          <w:rFonts w:hint="eastAsia"/>
          <w:color w:val="000000" w:themeColor="text1"/>
        </w:rPr>
        <w:t>42</w:t>
      </w:r>
      <w:r>
        <w:rPr>
          <w:color w:val="000000" w:themeColor="text1"/>
        </w:rPr>
        <w:t>项、8个同步监测站</w:t>
      </w:r>
      <w:r>
        <w:rPr>
          <w:rFonts w:hint="eastAsia"/>
          <w:color w:val="000000" w:themeColor="text1"/>
        </w:rPr>
        <w:t>水样运输（运送、寄送）。</w:t>
      </w:r>
    </w:p>
    <w:p>
      <w:pPr>
        <w:pStyle w:val="37"/>
        <w:adjustRightInd w:val="0"/>
        <w:snapToGrid w:val="0"/>
        <w:spacing w:before="0" w:beforeAutospacing="0" w:after="0" w:afterAutospacing="0" w:line="360" w:lineRule="auto"/>
        <w:ind w:firstLine="480" w:firstLineChars="200"/>
        <w:rPr>
          <w:rStyle w:val="44"/>
          <w:color w:val="000000" w:themeColor="text1"/>
        </w:rPr>
      </w:pPr>
      <w:r>
        <w:rPr>
          <w:color w:val="000000" w:themeColor="text1"/>
        </w:rPr>
        <w:t>14、</w:t>
      </w:r>
      <w:r>
        <w:rPr>
          <w:rFonts w:hint="eastAsia"/>
          <w:color w:val="000000" w:themeColor="text1"/>
        </w:rPr>
        <w:t>314</w:t>
      </w:r>
      <w:r>
        <w:rPr>
          <w:color w:val="000000" w:themeColor="text1"/>
        </w:rPr>
        <w:t>个水质样品进行</w:t>
      </w:r>
      <w:r>
        <w:rPr>
          <w:rFonts w:hint="eastAsia"/>
          <w:color w:val="000000" w:themeColor="text1"/>
        </w:rPr>
        <w:t>1</w:t>
      </w:r>
      <w:r>
        <w:rPr>
          <w:color w:val="000000" w:themeColor="text1"/>
        </w:rPr>
        <w:t>次</w:t>
      </w:r>
      <w:r>
        <w:rPr>
          <w:rFonts w:hint="eastAsia"/>
          <w:color w:val="000000" w:themeColor="text1"/>
        </w:rPr>
        <w:t>42</w:t>
      </w:r>
      <w:r>
        <w:rPr>
          <w:color w:val="000000" w:themeColor="text1"/>
        </w:rPr>
        <w:t>项</w:t>
      </w:r>
      <w:r>
        <w:rPr>
          <w:rFonts w:hint="eastAsia"/>
        </w:rPr>
        <w:t>指标</w:t>
      </w:r>
      <w:r>
        <w:rPr>
          <w:rFonts w:hint="eastAsia"/>
          <w:color w:val="000000" w:themeColor="text1"/>
        </w:rPr>
        <w:t>水质检测，并出具水质检测报告、</w:t>
      </w:r>
      <w:r>
        <w:rPr>
          <w:color w:val="000000" w:themeColor="text1"/>
        </w:rPr>
        <w:t>质控报告、水质分析评价报告，</w:t>
      </w:r>
      <w:r>
        <w:rPr>
          <w:rFonts w:hint="eastAsia"/>
          <w:color w:val="000000" w:themeColor="text1"/>
        </w:rPr>
        <w:t>提供</w:t>
      </w:r>
      <w:r>
        <w:rPr>
          <w:color w:val="000000" w:themeColor="text1"/>
        </w:rPr>
        <w:t>水质监测数据汇总表</w:t>
      </w:r>
      <w:r>
        <w:rPr>
          <w:rFonts w:hint="eastAsia"/>
          <w:color w:val="000000" w:themeColor="text1"/>
        </w:rPr>
        <w:t>等。</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二、供应商（或投标人）的资格要求：</w:t>
      </w:r>
    </w:p>
    <w:p>
      <w:pPr>
        <w:adjustRightInd w:val="0"/>
        <w:snapToGrid w:val="0"/>
        <w:spacing w:line="360" w:lineRule="auto"/>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1）应当具备政府采购法第二十二条第一款规定的条件：</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①法人或者其他组织的营业执照等证明文件，自然人的身份证明；</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②财务状况报告，依法缴纳税收和社会保障资金的相关材料；</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③具备履行合同所必需的设备和专业技术能力的证明材料；</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④参加政府采购活动前三年内在经营活动中没有重大违法记录的书面声明；</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⑤具备法律、行政法规规定的其他条件的证明材料。</w:t>
      </w:r>
    </w:p>
    <w:p>
      <w:pPr>
        <w:adjustRightInd w:val="0"/>
        <w:snapToGrid w:val="0"/>
        <w:spacing w:line="360" w:lineRule="auto"/>
        <w:ind w:left="562" w:leftChars="-18" w:hanging="600" w:hangingChars="250"/>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2）投标人的经营范围应是符合本次投标要求的，不接受外资检测单位或中外合资检测单位投标。</w:t>
      </w:r>
    </w:p>
    <w:p>
      <w:pPr>
        <w:adjustRightInd w:val="0"/>
        <w:snapToGrid w:val="0"/>
        <w:spacing w:line="360" w:lineRule="auto"/>
        <w:ind w:left="562" w:leftChars="-18" w:hanging="600" w:hangingChars="250"/>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3）</w:t>
      </w:r>
      <w:r>
        <w:rPr>
          <w:rFonts w:hint="eastAsia" w:ascii="Times New Roman" w:hAnsi="Times New Roman"/>
          <w:kern w:val="0"/>
          <w:sz w:val="24"/>
          <w:szCs w:val="24"/>
        </w:rPr>
        <w:t>参加本项目的投标人或参加联合体投标承担地下水水质监测任务的投标人应具有国家级或省级以上检验检测机构实验室资质认定资质（CMA），CMA证书包括42项指标，为《地下水质量标准》（GB/T14848-2017）中37项常规指标（总α放射性、总β放射性除外）及其他5项地下水化学指标（钾、钙、镁、碳酸根、重碳酸根）</w:t>
      </w:r>
      <w:r>
        <w:rPr>
          <w:rFonts w:hint="eastAsia"/>
          <w:kern w:val="0"/>
          <w:sz w:val="24"/>
          <w:szCs w:val="24"/>
        </w:rPr>
        <w:t>。</w:t>
      </w:r>
    </w:p>
    <w:p>
      <w:pPr>
        <w:adjustRightInd w:val="0"/>
        <w:snapToGrid w:val="0"/>
        <w:spacing w:line="360" w:lineRule="auto"/>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4</w:t>
      </w:r>
      <w:r>
        <w:rPr>
          <w:rFonts w:hint="eastAsia" w:ascii="宋体" w:hAnsi="宋体"/>
          <w:color w:val="000000" w:themeColor="text1"/>
          <w:sz w:val="24"/>
          <w:szCs w:val="24"/>
        </w:rPr>
        <w:t>）按照招标公告要求购买了招标文件。</w:t>
      </w:r>
    </w:p>
    <w:p>
      <w:pPr>
        <w:adjustRightInd w:val="0"/>
        <w:snapToGrid w:val="0"/>
        <w:spacing w:line="360" w:lineRule="auto"/>
        <w:ind w:left="562" w:leftChars="-18" w:hanging="600" w:hangingChars="250"/>
        <w:rPr>
          <w:rFonts w:ascii="宋体" w:hAnsi="宋体"/>
          <w:color w:val="000000"/>
          <w:sz w:val="24"/>
          <w:szCs w:val="20"/>
        </w:rPr>
      </w:pPr>
      <w:r>
        <w:rPr>
          <w:rFonts w:hint="eastAsia" w:ascii="宋体" w:hAnsi="宋体"/>
          <w:color w:val="000000" w:themeColor="text1"/>
          <w:sz w:val="24"/>
          <w:szCs w:val="24"/>
        </w:rPr>
        <w:t>（5）投标单位负责人为同一人或者存在直接控股、管理关系的不同供应商，不得参加同一合同项下的政府采购活动。以联合体形式参加政府采购活动的，联合体各方不得再单独参加或者与其他供应商另外组成联合体参加同一合同项下的政府采购活动。</w:t>
      </w:r>
    </w:p>
    <w:p>
      <w:pPr>
        <w:adjustRightInd w:val="0"/>
        <w:snapToGrid w:val="0"/>
        <w:spacing w:line="360" w:lineRule="auto"/>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（6）投标人不得为列入失信被执行人、重大税收违法案件当事人名单、政府采购严重违法失信行为记录名单的供应商。具体名单以“信用中国”网站（</w:t>
      </w:r>
      <w:r>
        <w:rPr>
          <w:rFonts w:ascii="宋体" w:hAnsi="宋体"/>
          <w:color w:val="000000" w:themeColor="text1"/>
          <w:sz w:val="24"/>
          <w:szCs w:val="24"/>
        </w:rPr>
        <w:t>www.creditchina.gov.cn）</w:t>
      </w:r>
      <w:r>
        <w:rPr>
          <w:rFonts w:hint="eastAsia" w:ascii="宋体" w:hAnsi="宋体"/>
          <w:color w:val="000000" w:themeColor="text1"/>
          <w:sz w:val="24"/>
          <w:szCs w:val="24"/>
        </w:rPr>
        <w:t>、中国政府采购网（</w:t>
      </w:r>
      <w:r>
        <w:rPr>
          <w:rFonts w:ascii="宋体" w:hAnsi="宋体"/>
          <w:color w:val="000000" w:themeColor="text1"/>
          <w:sz w:val="24"/>
          <w:szCs w:val="24"/>
        </w:rPr>
        <w:t>www.ccgp.gov.cn</w:t>
      </w:r>
      <w:r>
        <w:rPr>
          <w:rFonts w:hint="eastAsia" w:ascii="宋体" w:hAnsi="宋体"/>
          <w:color w:val="000000" w:themeColor="text1"/>
          <w:sz w:val="24"/>
          <w:szCs w:val="24"/>
        </w:rPr>
        <w:t>）</w:t>
      </w:r>
      <w:r>
        <w:rPr>
          <w:rFonts w:ascii="宋体" w:hAnsi="宋体"/>
          <w:color w:val="000000" w:themeColor="text1"/>
          <w:sz w:val="24"/>
          <w:szCs w:val="24"/>
        </w:rPr>
        <w:t>公布名单为准。采购代理机构将对供应商信用记录进行甄别，对列入失信被执行人、重大税收违法案件当事人名单、政府采购严重违法失信行为记录名单且在处罚期内的供应商，将拒绝其参与本次政府采购活动。</w:t>
      </w:r>
    </w:p>
    <w:p>
      <w:pPr>
        <w:pStyle w:val="37"/>
        <w:adjustRightInd w:val="0"/>
        <w:snapToGrid w:val="0"/>
        <w:spacing w:before="0" w:beforeAutospacing="0" w:after="0" w:afterAutospacing="0" w:line="360" w:lineRule="auto"/>
        <w:ind w:left="480" w:hanging="480" w:hangingChars="200"/>
        <w:rPr>
          <w:rStyle w:val="44"/>
          <w:color w:val="000000" w:themeColor="text1"/>
        </w:rPr>
      </w:pPr>
      <w:r>
        <w:rPr>
          <w:rFonts w:hint="eastAsia"/>
          <w:color w:val="000000" w:themeColor="text1"/>
        </w:rPr>
        <w:t>（7）本项目接受联合体投标。参加联合体的供应商投标时应当提交联合协议，载明联合体各方承担的工作和义务。联合体各方应当共同与采购人签订采购合同，就采购合同约定的事项对采购人承担连带责任。联合体成员（含联合体牵头人）数量不得超过2家。</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三、招标文件的发售时间及地点等：</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预算金额：</w:t>
      </w:r>
      <w:r>
        <w:rPr>
          <w:color w:val="000000" w:themeColor="text1"/>
        </w:rPr>
        <w:t>320.26万元。</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时间：</w:t>
      </w:r>
      <w:r>
        <w:rPr>
          <w:color w:val="000000" w:themeColor="text1"/>
        </w:rPr>
        <w:t>2020年</w:t>
      </w:r>
      <w:r>
        <w:rPr>
          <w:rFonts w:hint="eastAsia"/>
          <w:color w:val="000000" w:themeColor="text1"/>
        </w:rPr>
        <w:t>7</w:t>
      </w:r>
      <w:r>
        <w:rPr>
          <w:color w:val="000000" w:themeColor="text1"/>
        </w:rPr>
        <w:t>月</w:t>
      </w:r>
      <w:r>
        <w:rPr>
          <w:rFonts w:hint="eastAsia"/>
          <w:color w:val="000000" w:themeColor="text1"/>
        </w:rPr>
        <w:t>13日</w:t>
      </w:r>
      <w:r>
        <w:rPr>
          <w:color w:val="000000" w:themeColor="text1"/>
        </w:rPr>
        <w:t xml:space="preserve"> 09:00 </w:t>
      </w:r>
      <w:r>
        <w:rPr>
          <w:rFonts w:hint="eastAsia"/>
          <w:color w:val="000000" w:themeColor="text1"/>
        </w:rPr>
        <w:t>至</w:t>
      </w:r>
      <w:r>
        <w:rPr>
          <w:color w:val="000000" w:themeColor="text1"/>
        </w:rPr>
        <w:t xml:space="preserve"> 2020年</w:t>
      </w:r>
      <w:r>
        <w:rPr>
          <w:rFonts w:hint="eastAsia"/>
          <w:color w:val="000000" w:themeColor="text1"/>
        </w:rPr>
        <w:t>7</w:t>
      </w:r>
      <w:r>
        <w:rPr>
          <w:color w:val="000000" w:themeColor="text1"/>
        </w:rPr>
        <w:t>月</w:t>
      </w:r>
      <w:r>
        <w:rPr>
          <w:rFonts w:hint="eastAsia"/>
          <w:color w:val="000000" w:themeColor="text1"/>
        </w:rPr>
        <w:t>28日</w:t>
      </w:r>
      <w:r>
        <w:rPr>
          <w:color w:val="000000" w:themeColor="text1"/>
        </w:rPr>
        <w:t xml:space="preserve"> 17:00(双休日及法定节假日除外)</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地点：</w:t>
      </w:r>
      <w:r>
        <w:fldChar w:fldCharType="begin"/>
      </w:r>
      <w:r>
        <w:instrText xml:space="preserve"> HYPERLINK "http://www.anzhaobid.com" </w:instrText>
      </w:r>
      <w:r>
        <w:fldChar w:fldCharType="separate"/>
      </w:r>
      <w:r>
        <w:rPr>
          <w:rStyle w:val="47"/>
          <w:rFonts w:ascii="宋体" w:hAnsi="宋体"/>
          <w:sz w:val="24"/>
          <w:szCs w:val="24"/>
        </w:rPr>
        <w:t>http://www.anzhaobid.com</w:t>
      </w:r>
      <w:r>
        <w:rPr>
          <w:rStyle w:val="47"/>
          <w:rFonts w:ascii="宋体" w:hAnsi="宋体"/>
          <w:sz w:val="24"/>
          <w:szCs w:val="24"/>
        </w:rPr>
        <w:fldChar w:fldCharType="end"/>
      </w:r>
      <w:r>
        <w:rPr>
          <w:rFonts w:hint="eastAsia"/>
          <w:color w:val="000000" w:themeColor="text1"/>
        </w:rPr>
        <w:t>（其他交易栏）</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招标文件售价：¥</w:t>
      </w:r>
      <w:r>
        <w:rPr>
          <w:color w:val="000000" w:themeColor="text1"/>
        </w:rPr>
        <w:t>600.0元，本公告包含的招标文件售价总和</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招标文件获取方式：登录水利部淮河水利委员会•安徽省水利厅电子交易平台（http://www.anzhaobid.com/），“交易信息--其他交易”栏（http://www.anzhaobid.com/jyxx/002003/002003001/list.html），在本项目招标公告下方完成登记</w:t>
      </w:r>
      <w:r>
        <w:rPr>
          <w:color w:val="000000" w:themeColor="text1"/>
        </w:rPr>
        <w:t>并</w:t>
      </w:r>
      <w:r>
        <w:rPr>
          <w:rFonts w:hint="eastAsia"/>
          <w:color w:val="000000" w:themeColor="text1"/>
        </w:rPr>
        <w:t>自行下载招标文件。</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四、投标截止时间：2020年8月3日9:30（北京时间）</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五、开标时间：同投标截止时间</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六、开标地点：合肥市滨湖新区徽州大道与云谷路交口西北角淮河科研中心12楼第一会议室</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七、其它补充事宜</w:t>
      </w:r>
    </w:p>
    <w:p>
      <w:pPr>
        <w:widowControl/>
        <w:adjustRightInd w:val="0"/>
        <w:snapToGrid w:val="0"/>
        <w:spacing w:line="360" w:lineRule="auto"/>
        <w:ind w:firstLine="480" w:firstLineChars="200"/>
        <w:jc w:val="left"/>
        <w:textAlignment w:val="baseline"/>
        <w:rPr>
          <w:rFonts w:ascii="宋体" w:hAnsi="宋体"/>
          <w:color w:val="000000" w:themeColor="text1"/>
          <w:kern w:val="0"/>
          <w:sz w:val="24"/>
          <w:szCs w:val="24"/>
        </w:rPr>
      </w:pPr>
      <w:r>
        <w:rPr>
          <w:rFonts w:hint="eastAsia" w:ascii="宋体" w:hAnsi="宋体"/>
          <w:color w:val="000000" w:themeColor="text1"/>
          <w:kern w:val="0"/>
          <w:sz w:val="24"/>
          <w:szCs w:val="24"/>
        </w:rPr>
        <w:t>（</w:t>
      </w:r>
      <w:r>
        <w:rPr>
          <w:rFonts w:ascii="宋体" w:hAnsi="宋体"/>
          <w:color w:val="000000" w:themeColor="text1"/>
          <w:kern w:val="0"/>
          <w:sz w:val="24"/>
          <w:szCs w:val="24"/>
        </w:rPr>
        <w:t>1）有意向的投标人可</w:t>
      </w:r>
      <w:r>
        <w:rPr>
          <w:rFonts w:hint="eastAsia" w:ascii="宋体" w:hAnsi="宋体"/>
          <w:color w:val="000000" w:themeColor="text1"/>
          <w:kern w:val="0"/>
          <w:sz w:val="24"/>
          <w:szCs w:val="24"/>
        </w:rPr>
        <w:t>登录水利部淮河水利委员会•安徽省水利厅电子交易平台（http://www.anzhaobid.com/），“交易信息--其他交易”栏（http://www.anzhaobid.com/jyxx/002003/002003001/list.html），在本项目招标公告下方自行下载招标文件购买登记表，并按登记表备注中的“网上购买招标文件须知”完成投标人登记手续。</w:t>
      </w:r>
    </w:p>
    <w:p>
      <w:pPr>
        <w:widowControl/>
        <w:adjustRightInd w:val="0"/>
        <w:snapToGrid w:val="0"/>
        <w:spacing w:line="360" w:lineRule="auto"/>
        <w:ind w:firstLine="480" w:firstLineChars="200"/>
        <w:jc w:val="left"/>
        <w:textAlignment w:val="baseline"/>
        <w:rPr>
          <w:rFonts w:ascii="宋体" w:hAnsi="宋体"/>
          <w:color w:val="000000" w:themeColor="text1"/>
          <w:kern w:val="0"/>
          <w:sz w:val="24"/>
          <w:szCs w:val="24"/>
        </w:rPr>
      </w:pPr>
      <w:r>
        <w:rPr>
          <w:rFonts w:hint="eastAsia" w:ascii="宋体" w:hAnsi="宋体"/>
          <w:color w:val="000000" w:themeColor="text1"/>
          <w:kern w:val="0"/>
          <w:sz w:val="24"/>
          <w:szCs w:val="24"/>
        </w:rPr>
        <w:t>（</w:t>
      </w:r>
      <w:r>
        <w:rPr>
          <w:rFonts w:ascii="宋体" w:hAnsi="宋体"/>
          <w:color w:val="000000" w:themeColor="text1"/>
          <w:kern w:val="0"/>
          <w:sz w:val="24"/>
          <w:szCs w:val="24"/>
        </w:rPr>
        <w:t>2）投标人可以电汇的形式支付标书款（</w:t>
      </w:r>
      <w:r>
        <w:rPr>
          <w:rFonts w:hint="eastAsia" w:ascii="宋体" w:hAnsi="宋体"/>
          <w:color w:val="000000" w:themeColor="text1"/>
          <w:kern w:val="0"/>
          <w:sz w:val="24"/>
          <w:szCs w:val="24"/>
        </w:rPr>
        <w:t>标书费收款账户信息详见登记表</w:t>
      </w:r>
      <w:r>
        <w:rPr>
          <w:rFonts w:ascii="宋体" w:hAnsi="宋体"/>
          <w:color w:val="000000" w:themeColor="text1"/>
          <w:kern w:val="0"/>
          <w:sz w:val="24"/>
          <w:szCs w:val="24"/>
        </w:rPr>
        <w:t>），</w:t>
      </w:r>
      <w:r>
        <w:rPr>
          <w:rFonts w:hint="eastAsia" w:ascii="宋体" w:hAnsi="宋体"/>
          <w:color w:val="000000" w:themeColor="text1"/>
          <w:kern w:val="0"/>
          <w:sz w:val="24"/>
          <w:szCs w:val="24"/>
        </w:rPr>
        <w:t>标书款电子发票将发送至投标人登记的电子邮箱。</w:t>
      </w:r>
    </w:p>
    <w:p>
      <w:pPr>
        <w:pStyle w:val="37"/>
        <w:adjustRightInd w:val="0"/>
        <w:snapToGrid w:val="0"/>
        <w:spacing w:before="0" w:beforeAutospacing="0" w:after="0" w:afterAutospacing="0" w:line="360" w:lineRule="auto"/>
        <w:ind w:firstLine="482" w:firstLineChars="200"/>
        <w:rPr>
          <w:b/>
          <w:bCs/>
          <w:color w:val="000000" w:themeColor="text1"/>
        </w:rPr>
      </w:pPr>
      <w:r>
        <w:rPr>
          <w:rFonts w:hint="eastAsia"/>
          <w:b/>
          <w:bCs/>
          <w:color w:val="000000" w:themeColor="text1"/>
        </w:rPr>
        <w:t>（</w:t>
      </w:r>
      <w:r>
        <w:rPr>
          <w:b/>
          <w:bCs/>
          <w:color w:val="000000" w:themeColor="text1"/>
        </w:rPr>
        <w:t>3）以电汇方式购买招标文件、递交投标保证金</w:t>
      </w:r>
      <w:r>
        <w:rPr>
          <w:rFonts w:hint="eastAsia"/>
          <w:b/>
          <w:bCs/>
          <w:color w:val="000000" w:themeColor="text1"/>
        </w:rPr>
        <w:t>的，须在电汇凭据附言栏中写明招标编号或项目简称。</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w:t>
      </w:r>
      <w:r>
        <w:rPr>
          <w:color w:val="000000" w:themeColor="text1"/>
        </w:rPr>
        <w:t>4）</w:t>
      </w:r>
      <w:r>
        <w:rPr>
          <w:rFonts w:hint="eastAsia"/>
          <w:color w:val="000000" w:themeColor="text1"/>
        </w:rPr>
        <w:t>投标文件的递交：投标文件须密封后于开标当日投标截止时间前递交至开标地点，逾期送达或不符合规定的投标文件恕不接受。</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w:t>
      </w:r>
      <w:r>
        <w:rPr>
          <w:color w:val="000000" w:themeColor="text1"/>
        </w:rPr>
        <w:t>5）公告期限：5个工作日</w:t>
      </w:r>
    </w:p>
    <w:p>
      <w:pPr>
        <w:pStyle w:val="37"/>
        <w:adjustRightInd w:val="0"/>
        <w:snapToGrid w:val="0"/>
        <w:spacing w:before="0" w:beforeAutospacing="0" w:after="0" w:afterAutospacing="0" w:line="360" w:lineRule="auto"/>
        <w:ind w:firstLine="482" w:firstLineChars="200"/>
        <w:rPr>
          <w:color w:val="000000" w:themeColor="text1"/>
        </w:rPr>
      </w:pPr>
      <w:r>
        <w:rPr>
          <w:rStyle w:val="44"/>
          <w:rFonts w:hint="eastAsia"/>
          <w:color w:val="000000" w:themeColor="text1"/>
        </w:rPr>
        <w:t>八、采购项目需要落实的政府采购政策：</w:t>
      </w:r>
    </w:p>
    <w:p>
      <w:pPr>
        <w:pStyle w:val="37"/>
        <w:adjustRightInd w:val="0"/>
        <w:snapToGrid w:val="0"/>
        <w:spacing w:line="360" w:lineRule="auto"/>
        <w:ind w:firstLine="480" w:firstLineChars="200"/>
        <w:outlineLvl w:val="0"/>
        <w:rPr>
          <w:color w:val="000000" w:themeColor="text1"/>
        </w:rPr>
      </w:pPr>
      <w:bookmarkStart w:id="14" w:name="_Toc20727"/>
      <w:r>
        <w:rPr>
          <w:rFonts w:hint="eastAsia"/>
          <w:color w:val="000000" w:themeColor="text1"/>
        </w:rPr>
        <w:t>（1）政府采购促进中小企业发展</w:t>
      </w:r>
      <w:bookmarkEnd w:id="14"/>
    </w:p>
    <w:p>
      <w:pPr>
        <w:pStyle w:val="37"/>
        <w:adjustRightInd w:val="0"/>
        <w:snapToGrid w:val="0"/>
        <w:spacing w:line="360" w:lineRule="auto"/>
        <w:ind w:firstLine="480" w:firstLineChars="200"/>
        <w:outlineLvl w:val="0"/>
        <w:rPr>
          <w:color w:val="000000" w:themeColor="text1"/>
        </w:rPr>
      </w:pPr>
      <w:bookmarkStart w:id="15" w:name="_Toc28793"/>
      <w:r>
        <w:rPr>
          <w:rFonts w:hint="eastAsia"/>
          <w:color w:val="000000" w:themeColor="text1"/>
        </w:rPr>
        <w:t>（2）政府采购支持监狱企业发展</w:t>
      </w:r>
      <w:bookmarkEnd w:id="15"/>
    </w:p>
    <w:p>
      <w:pPr>
        <w:pStyle w:val="37"/>
        <w:adjustRightInd w:val="0"/>
        <w:snapToGrid w:val="0"/>
        <w:spacing w:line="360" w:lineRule="auto"/>
        <w:ind w:firstLine="480" w:firstLineChars="200"/>
        <w:outlineLvl w:val="0"/>
        <w:rPr>
          <w:color w:val="000000" w:themeColor="text1"/>
        </w:rPr>
      </w:pPr>
      <w:bookmarkStart w:id="16" w:name="_Toc30327"/>
      <w:r>
        <w:rPr>
          <w:rFonts w:hint="eastAsia"/>
          <w:color w:val="000000" w:themeColor="text1"/>
        </w:rPr>
        <w:t>（3）政府采购促进残疾人就业</w:t>
      </w:r>
      <w:bookmarkEnd w:id="16"/>
    </w:p>
    <w:p>
      <w:pPr>
        <w:pStyle w:val="37"/>
        <w:adjustRightInd w:val="0"/>
        <w:snapToGrid w:val="0"/>
        <w:spacing w:before="0" w:beforeAutospacing="0" w:after="0" w:afterAutospacing="0" w:line="360" w:lineRule="auto"/>
        <w:ind w:firstLine="480" w:firstLineChars="200"/>
        <w:outlineLvl w:val="0"/>
        <w:rPr>
          <w:color w:val="000000" w:themeColor="text1"/>
        </w:rPr>
      </w:pPr>
      <w:bookmarkStart w:id="17" w:name="_Toc5470"/>
      <w:r>
        <w:rPr>
          <w:rFonts w:hint="eastAsia"/>
          <w:color w:val="000000" w:themeColor="text1"/>
        </w:rPr>
        <w:t>（4）政府采购鼓励采购节能环保产品</w:t>
      </w:r>
      <w:bookmarkEnd w:id="17"/>
    </w:p>
    <w:bookmarkEnd w:id="3"/>
    <w:bookmarkEnd w:id="12"/>
    <w:p>
      <w:pPr>
        <w:pStyle w:val="37"/>
        <w:adjustRightInd w:val="0"/>
        <w:snapToGrid w:val="0"/>
        <w:spacing w:before="0" w:beforeAutospacing="0" w:after="0" w:afterAutospacing="0" w:line="360" w:lineRule="auto"/>
        <w:ind w:firstLine="480" w:firstLineChars="200"/>
        <w:rPr>
          <w:rFonts w:hint="eastAsia"/>
          <w:color w:val="000000" w:themeColor="text1"/>
        </w:rPr>
      </w:pPr>
    </w:p>
    <w:p>
      <w:pPr>
        <w:pStyle w:val="37"/>
        <w:adjustRightInd w:val="0"/>
        <w:snapToGrid w:val="0"/>
        <w:spacing w:before="0" w:beforeAutospacing="0" w:after="0" w:afterAutospacing="0" w:line="360" w:lineRule="auto"/>
        <w:ind w:firstLine="480" w:firstLineChars="200"/>
        <w:jc w:val="right"/>
        <w:rPr>
          <w:rFonts w:hint="eastAsia"/>
          <w:color w:val="000000" w:themeColor="text1"/>
        </w:rPr>
      </w:pPr>
      <w:r>
        <w:rPr>
          <w:color w:val="000000" w:themeColor="text1"/>
        </w:rPr>
        <w:t>2020年7月13日</w:t>
      </w:r>
    </w:p>
    <w:p>
      <w:pPr>
        <w:pStyle w:val="37"/>
        <w:adjustRightInd w:val="0"/>
        <w:snapToGrid w:val="0"/>
        <w:spacing w:before="0" w:beforeAutospacing="0" w:after="0" w:afterAutospacing="0" w:line="360" w:lineRule="auto"/>
        <w:ind w:firstLine="480" w:firstLineChars="200"/>
        <w:rPr>
          <w:color w:val="000000" w:themeColor="text1"/>
        </w:rPr>
        <w:sectPr>
          <w:footerReference r:id="rId5" w:type="default"/>
          <w:pgSz w:w="11907" w:h="16840"/>
          <w:pgMar w:top="1440" w:right="1247" w:bottom="1440" w:left="1247" w:header="851" w:footer="992" w:gutter="0"/>
          <w:pgNumType w:start="1"/>
          <w:cols w:space="720" w:num="1"/>
        </w:sectPr>
      </w:pPr>
    </w:p>
    <w:p>
      <w:pPr>
        <w:pStyle w:val="3"/>
        <w:spacing w:before="0" w:after="0" w:line="360" w:lineRule="auto"/>
        <w:jc w:val="center"/>
        <w:rPr>
          <w:rFonts w:ascii="宋体" w:hAnsi="宋体"/>
          <w:color w:val="000000" w:themeColor="text1"/>
          <w:kern w:val="2"/>
          <w:sz w:val="36"/>
          <w:szCs w:val="36"/>
        </w:rPr>
      </w:pPr>
      <w:bookmarkStart w:id="18" w:name="_Toc414384903"/>
      <w:bookmarkStart w:id="19" w:name="_Toc42206679"/>
      <w:bookmarkStart w:id="20" w:name="_Toc19124"/>
      <w:bookmarkStart w:id="21" w:name="_Toc123272997"/>
      <w:r>
        <w:rPr>
          <w:rFonts w:hint="eastAsia" w:ascii="宋体" w:hAnsi="宋体"/>
          <w:color w:val="000000" w:themeColor="text1"/>
          <w:kern w:val="2"/>
          <w:sz w:val="36"/>
          <w:szCs w:val="36"/>
        </w:rPr>
        <w:t>招标文件</w:t>
      </w:r>
      <w:r>
        <w:rPr>
          <w:rFonts w:ascii="宋体" w:hAnsi="宋体"/>
          <w:color w:val="000000" w:themeColor="text1"/>
          <w:kern w:val="2"/>
          <w:sz w:val="36"/>
          <w:szCs w:val="36"/>
        </w:rPr>
        <w:t>2：招标项目指南</w:t>
      </w:r>
      <w:bookmarkEnd w:id="18"/>
      <w:bookmarkEnd w:id="19"/>
      <w:bookmarkEnd w:id="20"/>
    </w:p>
    <w:p>
      <w:pPr>
        <w:pStyle w:val="5"/>
        <w:numPr>
          <w:ilvl w:val="0"/>
          <w:numId w:val="0"/>
        </w:numPr>
        <w:spacing w:line="500" w:lineRule="exact"/>
        <w:ind w:left="602"/>
        <w:rPr>
          <w:rFonts w:ascii="宋体" w:hAnsi="宋体"/>
          <w:bCs w:val="0"/>
          <w:color w:val="000000" w:themeColor="text1"/>
          <w:szCs w:val="24"/>
        </w:rPr>
      </w:pPr>
      <w:bookmarkStart w:id="22" w:name="_Toc42206680"/>
      <w:bookmarkStart w:id="23" w:name="_Toc18047"/>
      <w:r>
        <w:rPr>
          <w:rFonts w:hint="eastAsia" w:ascii="宋体" w:hAnsi="宋体"/>
          <w:bCs w:val="0"/>
          <w:color w:val="000000" w:themeColor="text1"/>
          <w:szCs w:val="24"/>
        </w:rPr>
        <w:t>一、招标内容</w:t>
      </w:r>
      <w:bookmarkEnd w:id="22"/>
      <w:bookmarkEnd w:id="23"/>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2020年</w:t>
      </w:r>
      <w:r>
        <w:rPr>
          <w:rFonts w:hint="eastAsia"/>
          <w:color w:val="000000" w:themeColor="text1"/>
        </w:rPr>
        <w:t>安徽</w:t>
      </w:r>
      <w:r>
        <w:rPr>
          <w:color w:val="000000" w:themeColor="text1"/>
        </w:rPr>
        <w:t>省国家地下水监测工程（水利部分）</w:t>
      </w:r>
      <w:r>
        <w:rPr>
          <w:rFonts w:hint="eastAsia"/>
          <w:color w:val="000000" w:themeColor="text1"/>
        </w:rPr>
        <w:t>监测系统</w:t>
      </w:r>
      <w:r>
        <w:rPr>
          <w:color w:val="000000" w:themeColor="text1"/>
        </w:rPr>
        <w:t>运行维护</w:t>
      </w:r>
      <w:r>
        <w:rPr>
          <w:rFonts w:hint="eastAsia"/>
          <w:color w:val="000000" w:themeColor="text1"/>
        </w:rPr>
        <w:t>和地下水水质监测项目</w:t>
      </w:r>
      <w:r>
        <w:rPr>
          <w:color w:val="000000" w:themeColor="text1"/>
        </w:rPr>
        <w:t>。</w:t>
      </w:r>
    </w:p>
    <w:p>
      <w:pPr>
        <w:pStyle w:val="5"/>
        <w:numPr>
          <w:ilvl w:val="0"/>
          <w:numId w:val="0"/>
        </w:numPr>
        <w:spacing w:line="500" w:lineRule="exact"/>
        <w:ind w:left="602"/>
        <w:rPr>
          <w:rFonts w:ascii="宋体" w:hAnsi="宋体"/>
          <w:bCs w:val="0"/>
          <w:color w:val="000000" w:themeColor="text1"/>
          <w:szCs w:val="24"/>
        </w:rPr>
      </w:pPr>
      <w:bookmarkStart w:id="24" w:name="_Toc18921"/>
      <w:bookmarkStart w:id="25" w:name="_Toc42206681"/>
      <w:r>
        <w:rPr>
          <w:rFonts w:hint="eastAsia" w:ascii="宋体" w:hAnsi="宋体"/>
          <w:bCs w:val="0"/>
          <w:color w:val="000000" w:themeColor="text1"/>
          <w:szCs w:val="24"/>
        </w:rPr>
        <w:t>二、目标任务</w:t>
      </w:r>
      <w:bookmarkEnd w:id="24"/>
      <w:bookmarkEnd w:id="25"/>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招标项目是保证安徽省国家地下水监测工程（水利部分）运行良好，保质保量地完成地下水水质监测工作。</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主要工作任务包括：</w:t>
      </w:r>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1、</w:t>
      </w:r>
      <w:r>
        <w:rPr>
          <w:rFonts w:hint="eastAsia"/>
          <w:color w:val="000000" w:themeColor="text1"/>
        </w:rPr>
        <w:t>390</w:t>
      </w:r>
      <w:r>
        <w:rPr>
          <w:color w:val="000000" w:themeColor="text1"/>
        </w:rPr>
        <w:t>个地下水监测站</w:t>
      </w:r>
      <w:r>
        <w:rPr>
          <w:rFonts w:hint="eastAsia"/>
          <w:color w:val="000000" w:themeColor="text1"/>
        </w:rPr>
        <w:t>全年信息报送。</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2、390个地下水监测站设施设备看护</w:t>
      </w:r>
      <w:r>
        <w:rPr>
          <w:color w:val="000000" w:themeColor="text1"/>
        </w:rPr>
        <w:t>。</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3</w:t>
      </w:r>
      <w:r>
        <w:rPr>
          <w:color w:val="000000" w:themeColor="text1"/>
        </w:rPr>
        <w:t>、</w:t>
      </w:r>
      <w:r>
        <w:rPr>
          <w:rFonts w:hint="eastAsia"/>
          <w:color w:val="000000" w:themeColor="text1"/>
        </w:rPr>
        <w:t>390</w:t>
      </w:r>
      <w:r>
        <w:rPr>
          <w:color w:val="000000" w:themeColor="text1"/>
        </w:rPr>
        <w:t>个地下水监测站自动监测仪器现场校测</w:t>
      </w:r>
      <w:r>
        <w:rPr>
          <w:rFonts w:hint="eastAsia"/>
          <w:color w:val="000000" w:themeColor="text1"/>
        </w:rPr>
        <w:t>（含井深测量）</w:t>
      </w:r>
      <w:r>
        <w:rPr>
          <w:color w:val="000000" w:themeColor="text1"/>
        </w:rPr>
        <w:t>。</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4、4个水质自动站监测仪器校测。</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5</w:t>
      </w:r>
      <w:r>
        <w:rPr>
          <w:color w:val="000000" w:themeColor="text1"/>
        </w:rPr>
        <w:t>、</w:t>
      </w:r>
      <w:r>
        <w:rPr>
          <w:rFonts w:hint="eastAsia"/>
          <w:color w:val="000000" w:themeColor="text1"/>
        </w:rPr>
        <w:t>390</w:t>
      </w:r>
      <w:r>
        <w:rPr>
          <w:color w:val="000000" w:themeColor="text1"/>
        </w:rPr>
        <w:t>个监测站自动监测仪器</w:t>
      </w:r>
      <w:r>
        <w:rPr>
          <w:rFonts w:hint="eastAsia"/>
          <w:color w:val="000000" w:themeColor="text1"/>
        </w:rPr>
        <w:t>通信保障和</w:t>
      </w:r>
      <w:r>
        <w:rPr>
          <w:color w:val="000000" w:themeColor="text1"/>
        </w:rPr>
        <w:t>故障处理。</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6、井口保护装置等附属设施养护维护。</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7</w:t>
      </w:r>
      <w:r>
        <w:rPr>
          <w:color w:val="000000" w:themeColor="text1"/>
        </w:rPr>
        <w:t>、</w:t>
      </w:r>
      <w:r>
        <w:rPr>
          <w:rFonts w:hint="eastAsia"/>
          <w:color w:val="000000" w:themeColor="text1"/>
        </w:rPr>
        <w:t>390个监测站2019年度地下水资料整编与刊印。</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8</w:t>
      </w:r>
      <w:r>
        <w:rPr>
          <w:color w:val="000000" w:themeColor="text1"/>
        </w:rPr>
        <w:t>、省市地下水监测中心</w:t>
      </w:r>
      <w:r>
        <w:rPr>
          <w:rFonts w:hint="eastAsia"/>
          <w:color w:val="000000" w:themeColor="text1"/>
        </w:rPr>
        <w:t>系统运行维护。</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9</w:t>
      </w:r>
      <w:r>
        <w:rPr>
          <w:color w:val="000000" w:themeColor="text1"/>
        </w:rPr>
        <w:t>、监测站自动监测设备故障处理技术支持。</w:t>
      </w:r>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10、提供省中心管理、市（地）分中心管理及故障处理所需交通工具及自动监测设备维护相应的备品备件。</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11、314个监测站、8个同步监测站采样前抽水等准备工作。</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12</w:t>
      </w:r>
      <w:r>
        <w:rPr>
          <w:color w:val="000000" w:themeColor="text1"/>
        </w:rPr>
        <w:t>、</w:t>
      </w:r>
      <w:r>
        <w:rPr>
          <w:rFonts w:hint="eastAsia"/>
          <w:color w:val="000000" w:themeColor="text1"/>
        </w:rPr>
        <w:t>314</w:t>
      </w:r>
      <w:r>
        <w:rPr>
          <w:color w:val="000000" w:themeColor="text1"/>
        </w:rPr>
        <w:t>个监测站</w:t>
      </w:r>
      <w:r>
        <w:rPr>
          <w:rFonts w:hint="eastAsia"/>
          <w:color w:val="000000" w:themeColor="text1"/>
        </w:rPr>
        <w:t>42</w:t>
      </w:r>
      <w:r>
        <w:rPr>
          <w:color w:val="000000" w:themeColor="text1"/>
        </w:rPr>
        <w:t>项、</w:t>
      </w:r>
      <w:r>
        <w:rPr>
          <w:rFonts w:hint="eastAsia"/>
          <w:color w:val="000000" w:themeColor="text1"/>
        </w:rPr>
        <w:t>8个同步监测站</w:t>
      </w:r>
      <w:r>
        <w:rPr>
          <w:color w:val="000000" w:themeColor="text1"/>
        </w:rPr>
        <w:t>93项的水质采样。</w:t>
      </w:r>
    </w:p>
    <w:p>
      <w:pPr>
        <w:pStyle w:val="37"/>
        <w:adjustRightInd w:val="0"/>
        <w:snapToGrid w:val="0"/>
        <w:spacing w:before="0" w:beforeAutospacing="0" w:after="0" w:afterAutospacing="0" w:line="360" w:lineRule="auto"/>
        <w:ind w:firstLine="480" w:firstLineChars="200"/>
        <w:rPr>
          <w:color w:val="000000" w:themeColor="text1"/>
        </w:rPr>
      </w:pPr>
      <w:r>
        <w:rPr>
          <w:rFonts w:hint="eastAsia"/>
          <w:color w:val="000000" w:themeColor="text1"/>
        </w:rPr>
        <w:t>13</w:t>
      </w:r>
      <w:r>
        <w:rPr>
          <w:color w:val="000000" w:themeColor="text1"/>
        </w:rPr>
        <w:t>、</w:t>
      </w:r>
      <w:r>
        <w:rPr>
          <w:rFonts w:hint="eastAsia"/>
          <w:color w:val="000000" w:themeColor="text1"/>
        </w:rPr>
        <w:t>314</w:t>
      </w:r>
      <w:r>
        <w:rPr>
          <w:color w:val="000000" w:themeColor="text1"/>
        </w:rPr>
        <w:t>个监测站</w:t>
      </w:r>
      <w:r>
        <w:rPr>
          <w:rFonts w:hint="eastAsia"/>
          <w:color w:val="000000" w:themeColor="text1"/>
        </w:rPr>
        <w:t>42</w:t>
      </w:r>
      <w:r>
        <w:rPr>
          <w:color w:val="000000" w:themeColor="text1"/>
        </w:rPr>
        <w:t>项、8个同步监测站</w:t>
      </w:r>
      <w:r>
        <w:rPr>
          <w:rFonts w:hint="eastAsia"/>
          <w:color w:val="000000" w:themeColor="text1"/>
        </w:rPr>
        <w:t>水样运输（运送、寄送），抽水洗井应达到采样相关规范要求，提供全部水样容器。</w:t>
      </w:r>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14、</w:t>
      </w:r>
      <w:r>
        <w:rPr>
          <w:rFonts w:hint="eastAsia"/>
          <w:color w:val="000000" w:themeColor="text1"/>
        </w:rPr>
        <w:t>314</w:t>
      </w:r>
      <w:r>
        <w:rPr>
          <w:color w:val="000000" w:themeColor="text1"/>
        </w:rPr>
        <w:t>个水质样品进行</w:t>
      </w:r>
      <w:r>
        <w:rPr>
          <w:rFonts w:hint="eastAsia"/>
          <w:color w:val="000000" w:themeColor="text1"/>
        </w:rPr>
        <w:t>1</w:t>
      </w:r>
      <w:r>
        <w:rPr>
          <w:color w:val="000000" w:themeColor="text1"/>
        </w:rPr>
        <w:t>次</w:t>
      </w:r>
      <w:r>
        <w:rPr>
          <w:rFonts w:hint="eastAsia"/>
          <w:color w:val="000000" w:themeColor="text1"/>
        </w:rPr>
        <w:t>42</w:t>
      </w:r>
      <w:r>
        <w:rPr>
          <w:color w:val="000000" w:themeColor="text1"/>
        </w:rPr>
        <w:t>项</w:t>
      </w:r>
      <w:r>
        <w:rPr>
          <w:rFonts w:hint="eastAsia"/>
          <w:color w:val="000000" w:themeColor="text1"/>
        </w:rPr>
        <w:t>指标水质检测，并出具水质检测报告、</w:t>
      </w:r>
      <w:r>
        <w:rPr>
          <w:color w:val="000000" w:themeColor="text1"/>
        </w:rPr>
        <w:t>质控报告、水质分析评价报告，</w:t>
      </w:r>
      <w:r>
        <w:rPr>
          <w:rFonts w:hint="eastAsia"/>
          <w:color w:val="000000" w:themeColor="text1"/>
        </w:rPr>
        <w:t>提供</w:t>
      </w:r>
      <w:r>
        <w:rPr>
          <w:color w:val="000000" w:themeColor="text1"/>
        </w:rPr>
        <w:t>水质监测数据汇总表</w:t>
      </w:r>
      <w:r>
        <w:rPr>
          <w:rFonts w:hint="eastAsia"/>
          <w:color w:val="000000" w:themeColor="text1"/>
        </w:rPr>
        <w:t>等。</w:t>
      </w:r>
    </w:p>
    <w:p>
      <w:pPr>
        <w:pStyle w:val="5"/>
        <w:numPr>
          <w:ilvl w:val="0"/>
          <w:numId w:val="0"/>
        </w:numPr>
        <w:spacing w:line="500" w:lineRule="exact"/>
        <w:ind w:left="602"/>
        <w:rPr>
          <w:rFonts w:ascii="宋体" w:hAnsi="宋体"/>
          <w:bCs w:val="0"/>
          <w:color w:val="000000" w:themeColor="text1"/>
          <w:szCs w:val="24"/>
        </w:rPr>
      </w:pPr>
      <w:bookmarkStart w:id="26" w:name="_Toc42206682"/>
      <w:bookmarkStart w:id="27" w:name="_Toc8024"/>
      <w:r>
        <w:rPr>
          <w:rFonts w:hint="eastAsia" w:ascii="宋体" w:hAnsi="宋体"/>
          <w:bCs w:val="0"/>
          <w:color w:val="000000" w:themeColor="text1"/>
          <w:szCs w:val="24"/>
        </w:rPr>
        <w:t>三、总体要求</w:t>
      </w:r>
      <w:bookmarkEnd w:id="26"/>
      <w:bookmarkEnd w:id="27"/>
    </w:p>
    <w:p>
      <w:pPr>
        <w:pStyle w:val="37"/>
        <w:adjustRightInd w:val="0"/>
        <w:snapToGrid w:val="0"/>
        <w:spacing w:before="0" w:beforeAutospacing="0" w:after="0" w:afterAutospacing="0" w:line="360" w:lineRule="auto"/>
        <w:ind w:firstLine="480" w:firstLineChars="200"/>
        <w:rPr>
          <w:color w:val="000000" w:themeColor="text1"/>
        </w:rPr>
      </w:pPr>
      <w:r>
        <w:rPr>
          <w:color w:val="000000" w:themeColor="text1"/>
        </w:rPr>
        <w:t>本次招标为1个包，接受联合体投标。</w:t>
      </w:r>
      <w:r>
        <w:rPr>
          <w:rFonts w:hint="eastAsia"/>
          <w:color w:val="000000" w:themeColor="text1"/>
        </w:rPr>
        <w:t>采购人根据评标委员会评标报告，按照得分从高到低排序，确定项目中标人。</w:t>
      </w:r>
    </w:p>
    <w:p>
      <w:pPr>
        <w:pStyle w:val="5"/>
        <w:numPr>
          <w:ilvl w:val="0"/>
          <w:numId w:val="0"/>
        </w:numPr>
        <w:spacing w:line="500" w:lineRule="exact"/>
        <w:ind w:left="602"/>
        <w:rPr>
          <w:rFonts w:ascii="宋体" w:hAnsi="宋体"/>
          <w:bCs w:val="0"/>
          <w:color w:val="000000" w:themeColor="text1"/>
          <w:szCs w:val="24"/>
        </w:rPr>
      </w:pPr>
      <w:bookmarkStart w:id="28" w:name="_Toc17966"/>
      <w:bookmarkStart w:id="29" w:name="_Toc42206683"/>
      <w:r>
        <w:rPr>
          <w:rFonts w:hint="eastAsia" w:ascii="宋体" w:hAnsi="宋体"/>
          <w:bCs w:val="0"/>
          <w:color w:val="000000" w:themeColor="text1"/>
          <w:szCs w:val="24"/>
        </w:rPr>
        <w:t>四、具体要求</w:t>
      </w:r>
      <w:bookmarkEnd w:id="28"/>
      <w:bookmarkEnd w:id="29"/>
    </w:p>
    <w:p>
      <w:pPr>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390</w:t>
      </w:r>
      <w:r>
        <w:rPr>
          <w:rFonts w:asciiTheme="minorEastAsia" w:hAnsiTheme="minorEastAsia" w:eastAsiaTheme="minorEastAsia"/>
          <w:sz w:val="24"/>
          <w:szCs w:val="24"/>
        </w:rPr>
        <w:t>个地下水监测站</w:t>
      </w:r>
      <w:r>
        <w:rPr>
          <w:rFonts w:hint="eastAsia" w:asciiTheme="minorEastAsia" w:hAnsiTheme="minorEastAsia" w:eastAsiaTheme="minorEastAsia"/>
          <w:sz w:val="24"/>
          <w:szCs w:val="24"/>
        </w:rPr>
        <w:t>全年信息报送：全年开展水位、水温监测信息报送，均采用“六采一发”方式，每日8时、12时、16时、20时、24时、次日4时采集监测要素，次日8时发报一次；自动监测仪器从监测站到省级节点的全年到报率、省级节点到中央节点信息交换率和完整率不低于95%；复核并及时更新监测站基础信息，确保高程等信息准确；全年运行维护量化考核评分不低于90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2、390个地下水监测站设施设备看护，</w:t>
      </w:r>
      <w:r>
        <w:rPr>
          <w:rFonts w:asciiTheme="minorEastAsia" w:hAnsiTheme="minorEastAsia" w:eastAsiaTheme="minorEastAsia"/>
          <w:sz w:val="24"/>
          <w:szCs w:val="24"/>
        </w:rPr>
        <w:t>保证监测站资产安全</w:t>
      </w:r>
      <w:r>
        <w:rPr>
          <w:rFonts w:hint="eastAsia" w:asciiTheme="minorEastAsia" w:hAnsiTheme="minorEastAsia" w:eastAsiaTheme="minorEastAsia"/>
          <w:sz w:val="24"/>
          <w:szCs w:val="24"/>
        </w:rPr>
        <w:t>：</w:t>
      </w:r>
      <w:r>
        <w:rPr>
          <w:rFonts w:asciiTheme="minorEastAsia" w:hAnsiTheme="minorEastAsia" w:eastAsiaTheme="minorEastAsia"/>
          <w:sz w:val="24"/>
          <w:szCs w:val="24"/>
        </w:rPr>
        <w:t>建立与看护人员沟通渠道，掌握监测站看护状况、资产损毁情况，并及时维修，保证监测站资产安全；及时给看护人员发放足额看护费用，并应有看护人员、现场人员签字。</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390</w:t>
      </w:r>
      <w:r>
        <w:rPr>
          <w:rFonts w:asciiTheme="minorEastAsia" w:hAnsiTheme="minorEastAsia" w:eastAsiaTheme="minorEastAsia"/>
          <w:sz w:val="24"/>
          <w:szCs w:val="24"/>
        </w:rPr>
        <w:t>个地下水监测站自动监测仪器现场校测</w:t>
      </w:r>
      <w:r>
        <w:rPr>
          <w:rFonts w:hint="eastAsia" w:asciiTheme="minorEastAsia" w:hAnsiTheme="minorEastAsia" w:eastAsiaTheme="minorEastAsia"/>
          <w:sz w:val="24"/>
          <w:szCs w:val="24"/>
        </w:rPr>
        <w:t>（含井深测量）：</w:t>
      </w:r>
      <w:r>
        <w:rPr>
          <w:rFonts w:asciiTheme="minorEastAsia" w:hAnsiTheme="minorEastAsia" w:eastAsiaTheme="minorEastAsia"/>
          <w:sz w:val="24"/>
          <w:szCs w:val="24"/>
        </w:rPr>
        <w:t>对</w:t>
      </w:r>
      <w:r>
        <w:rPr>
          <w:rFonts w:hint="eastAsia" w:asciiTheme="minorEastAsia" w:hAnsiTheme="minorEastAsia" w:eastAsiaTheme="minorEastAsia"/>
          <w:sz w:val="24"/>
          <w:szCs w:val="24"/>
        </w:rPr>
        <w:t>390</w:t>
      </w:r>
      <w:r>
        <w:rPr>
          <w:rFonts w:asciiTheme="minorEastAsia" w:hAnsiTheme="minorEastAsia" w:eastAsiaTheme="minorEastAsia"/>
          <w:sz w:val="24"/>
          <w:szCs w:val="24"/>
        </w:rPr>
        <w:t>个地下水监测站自动监测仪器现场校测</w:t>
      </w:r>
      <w:r>
        <w:rPr>
          <w:rFonts w:hint="eastAsia" w:asciiTheme="minorEastAsia" w:hAnsiTheme="minorEastAsia" w:eastAsiaTheme="minorEastAsia"/>
          <w:sz w:val="24"/>
          <w:szCs w:val="24"/>
        </w:rPr>
        <w:t>至少1</w:t>
      </w:r>
      <w:r>
        <w:rPr>
          <w:rFonts w:asciiTheme="minorEastAsia" w:hAnsiTheme="minorEastAsia" w:eastAsiaTheme="minorEastAsia"/>
          <w:sz w:val="24"/>
          <w:szCs w:val="24"/>
        </w:rPr>
        <w:t>次</w:t>
      </w:r>
      <w:r>
        <w:rPr>
          <w:rFonts w:hint="eastAsia" w:asciiTheme="minorEastAsia" w:hAnsiTheme="minorEastAsia" w:eastAsiaTheme="minorEastAsia"/>
          <w:sz w:val="24"/>
          <w:szCs w:val="24"/>
        </w:rPr>
        <w:t>，通过对比现场人工实测水位数据与自动监测设备采集水位数据的方式对设备进行校测。校测前应对地下水监测站进行1次井深测量，采用经过国家计量鉴定的测绳或自动测井深设备进行测量，记录测量结果，需对比分析造成井深变化的可能原因。当井内有异物影响井深时，宜采用打捞工具捞取落物，再进行测量。</w:t>
      </w:r>
    </w:p>
    <w:p>
      <w:pPr>
        <w:pStyle w:val="37"/>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4、4个水质自动站监测仪器校测：</w:t>
      </w:r>
      <w:r>
        <w:rPr>
          <w:rFonts w:asciiTheme="minorEastAsia" w:hAnsiTheme="minorEastAsia" w:eastAsiaTheme="minorEastAsia"/>
        </w:rPr>
        <w:t>全年进行</w:t>
      </w:r>
      <w:r>
        <w:rPr>
          <w:rFonts w:hint="eastAsia" w:asciiTheme="minorEastAsia" w:hAnsiTheme="minorEastAsia" w:eastAsiaTheme="minorEastAsia"/>
        </w:rPr>
        <w:t>1</w:t>
      </w:r>
      <w:r>
        <w:rPr>
          <w:rFonts w:asciiTheme="minorEastAsia" w:hAnsiTheme="minorEastAsia" w:eastAsiaTheme="minorEastAsia"/>
        </w:rPr>
        <w:t>次自动监测仪器校测，执行《水环境检测仪器及设备校验方法》（SL 144.1～11-2008）有关技术要求。</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390</w:t>
      </w:r>
      <w:r>
        <w:rPr>
          <w:rFonts w:asciiTheme="minorEastAsia" w:hAnsiTheme="minorEastAsia" w:eastAsiaTheme="minorEastAsia"/>
          <w:sz w:val="24"/>
          <w:szCs w:val="24"/>
        </w:rPr>
        <w:t>个监测站自动监测仪器</w:t>
      </w:r>
      <w:r>
        <w:rPr>
          <w:rFonts w:hint="eastAsia" w:asciiTheme="minorEastAsia" w:hAnsiTheme="minorEastAsia" w:eastAsiaTheme="minorEastAsia"/>
          <w:sz w:val="24"/>
          <w:szCs w:val="24"/>
        </w:rPr>
        <w:t>通信保障和</w:t>
      </w:r>
      <w:r>
        <w:rPr>
          <w:rFonts w:asciiTheme="minorEastAsia" w:hAnsiTheme="minorEastAsia" w:eastAsiaTheme="minorEastAsia"/>
          <w:sz w:val="24"/>
          <w:szCs w:val="24"/>
        </w:rPr>
        <w:t>故障处理</w:t>
      </w:r>
      <w:r>
        <w:rPr>
          <w:rFonts w:hint="eastAsia" w:asciiTheme="minorEastAsia" w:hAnsiTheme="minorEastAsia" w:eastAsiaTheme="minorEastAsia"/>
          <w:sz w:val="24"/>
          <w:szCs w:val="24"/>
        </w:rPr>
        <w:t>：保证监测数据的正常采集和传输，对出现故障的监测仪器及时进行处理。</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6、井口保护装置等附属设施养护维护：对</w:t>
      </w:r>
      <w:r>
        <w:rPr>
          <w:rFonts w:asciiTheme="minorEastAsia" w:hAnsiTheme="minorEastAsia" w:eastAsiaTheme="minorEastAsia"/>
          <w:sz w:val="24"/>
          <w:szCs w:val="24"/>
        </w:rPr>
        <w:t>监测站保护筒外表漆面</w:t>
      </w:r>
      <w:r>
        <w:rPr>
          <w:rFonts w:hint="eastAsia" w:asciiTheme="minorEastAsia" w:hAnsiTheme="minorEastAsia" w:eastAsiaTheme="minorEastAsia"/>
          <w:sz w:val="24"/>
          <w:szCs w:val="24"/>
        </w:rPr>
        <w:t>锈蚀严重的进行</w:t>
      </w:r>
      <w:r>
        <w:rPr>
          <w:rFonts w:asciiTheme="minorEastAsia" w:hAnsiTheme="minorEastAsia" w:eastAsiaTheme="minorEastAsia"/>
          <w:sz w:val="24"/>
          <w:szCs w:val="24"/>
        </w:rPr>
        <w:t>处理，要求打磨除掉原有漆面及铁锈，防腐处理后喷漆，</w:t>
      </w:r>
      <w:r>
        <w:rPr>
          <w:rFonts w:hint="eastAsia" w:asciiTheme="minorEastAsia" w:hAnsiTheme="minorEastAsia" w:eastAsiaTheme="minorEastAsia"/>
          <w:sz w:val="24"/>
          <w:szCs w:val="24"/>
        </w:rPr>
        <w:t>作业过程应在无风无雨天气条件下进行；对遭到破坏的水准点、指示桩、标示牌等辅助设施进行维修和重建等。</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390个监测站2019年度地下水资料整编与刊印：采用国家地下水监测工程（水利部分）统一开发的地下水监测信息整编系统完成资料整编工作；按照水利部办公厅下发的任务书时间节点要求，及时完成资料入库和信息交换工作；按照《全国地下水监测资料年鉴刊印大纲》要求，完成纸质年鉴刊印。</w:t>
      </w:r>
    </w:p>
    <w:p>
      <w:pPr>
        <w:pStyle w:val="37"/>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、省市地下水监测中心</w:t>
      </w:r>
      <w:r>
        <w:rPr>
          <w:rFonts w:hint="eastAsia" w:asciiTheme="minorEastAsia" w:hAnsiTheme="minorEastAsia" w:eastAsiaTheme="minorEastAsia"/>
        </w:rPr>
        <w:t>系统运行维护管理：包括数据接收与处理、数据交换、业务应用系统、网络与基础运行环境、信息安全体系等，监测站监测信息和设备工况、系统运行日常监控，提供</w:t>
      </w:r>
      <w:r>
        <w:rPr>
          <w:rFonts w:asciiTheme="minorEastAsia" w:hAnsiTheme="minorEastAsia" w:eastAsiaTheme="minorEastAsia"/>
        </w:rPr>
        <w:t>7×24小时</w:t>
      </w:r>
      <w:r>
        <w:rPr>
          <w:rFonts w:hint="eastAsia" w:asciiTheme="minorEastAsia" w:hAnsiTheme="minorEastAsia" w:eastAsiaTheme="minorEastAsia"/>
        </w:rPr>
        <w:t>系统运行维护管理，保证系统正常运行。省级监测中心系统按照信息系统安全三级保护标准开展运维工作。</w:t>
      </w:r>
    </w:p>
    <w:p>
      <w:pPr>
        <w:pStyle w:val="37"/>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、监测站自动监测设备故障处理技术支持</w:t>
      </w:r>
      <w:r>
        <w:rPr>
          <w:rFonts w:hint="eastAsia" w:asciiTheme="minorEastAsia" w:hAnsiTheme="minorEastAsia" w:eastAsiaTheme="minorEastAsia"/>
        </w:rPr>
        <w:t>：在处理仪器设备故障过程中遇到技术困难，项目承担单位给予技术支持，解决困难；对现场运维人员培训。</w:t>
      </w:r>
    </w:p>
    <w:p>
      <w:pPr>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10、提供省中心管理、市（地）分中心管理及故障处理所需交通工具及自动监测设备维护相应的备品备件</w:t>
      </w:r>
      <w:r>
        <w:rPr>
          <w:rFonts w:hint="eastAsia" w:asciiTheme="minorEastAsia" w:hAnsiTheme="minorEastAsia" w:eastAsiaTheme="minorEastAsia"/>
          <w:sz w:val="24"/>
          <w:szCs w:val="24"/>
        </w:rPr>
        <w:t>：包括20套水位监测仪器备品备件（需从水利部水文仪器及岩土工程仪器质量监督检验测试中心公布的合格产品目录中选购）、10</w:t>
      </w:r>
      <w:r>
        <w:rPr>
          <w:rFonts w:asciiTheme="minorEastAsia" w:hAnsiTheme="minorEastAsia" w:eastAsiaTheme="minorEastAsia"/>
          <w:sz w:val="24"/>
          <w:szCs w:val="24"/>
        </w:rPr>
        <w:t>个</w:t>
      </w:r>
      <w:r>
        <w:rPr>
          <w:rFonts w:hint="eastAsia" w:asciiTheme="minorEastAsia" w:hAnsiTheme="minorEastAsia" w:eastAsiaTheme="minorEastAsia"/>
          <w:sz w:val="24"/>
          <w:szCs w:val="24"/>
        </w:rPr>
        <w:t>保护桶扳手、20</w:t>
      </w:r>
      <w:r>
        <w:rPr>
          <w:rFonts w:asciiTheme="minorEastAsia" w:hAnsiTheme="minorEastAsia" w:eastAsiaTheme="minorEastAsia"/>
          <w:sz w:val="24"/>
          <w:szCs w:val="24"/>
        </w:rPr>
        <w:t>个</w:t>
      </w:r>
      <w:r>
        <w:rPr>
          <w:rFonts w:hint="eastAsia" w:asciiTheme="minorEastAsia" w:hAnsiTheme="minorEastAsia" w:eastAsiaTheme="minorEastAsia"/>
          <w:sz w:val="24"/>
          <w:szCs w:val="24"/>
        </w:rPr>
        <w:t>高增益天线、10</w:t>
      </w:r>
      <w:r>
        <w:rPr>
          <w:rFonts w:asciiTheme="minorEastAsia" w:hAnsiTheme="minorEastAsia" w:eastAsiaTheme="minorEastAsia"/>
          <w:sz w:val="24"/>
          <w:szCs w:val="24"/>
        </w:rPr>
        <w:t>套</w:t>
      </w:r>
      <w:r>
        <w:rPr>
          <w:rFonts w:hint="eastAsia" w:asciiTheme="minorEastAsia" w:hAnsiTheme="minorEastAsia" w:eastAsiaTheme="minorEastAsia"/>
          <w:sz w:val="24"/>
          <w:szCs w:val="24"/>
        </w:rPr>
        <w:t>工具箱，必备办公用品，处理省、市中心故障必要的交通工具等。</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314个监测站42项（具体见地下水水质检测项目一览表（42项），下同）、8个同步监测站93项采样前抽水等准备工作：按照《地下水水质样品采集技术指南（试行）》（地下水〔2018〕91号）有关要求进行采样前准备和抽水工作。准备水泵和配套辅助实施等采样设备、便携式水质分析仪等现场监测仪器和样品容器等。</w:t>
      </w:r>
      <w:r>
        <w:rPr>
          <w:rFonts w:asciiTheme="minorEastAsia" w:hAnsiTheme="minorEastAsia" w:eastAsiaTheme="minorEastAsia"/>
          <w:sz w:val="24"/>
          <w:szCs w:val="24"/>
        </w:rPr>
        <w:t>抽水前提出自动监测仪器，轻拿轻放，不得磕碰探头，并保持探头清洁。通讯电缆杜绝对折及挤压，应有序缠绕杜绝乱扔乱放，缠绕半径不小于0.60m，确保自动监测仪器不受损坏。</w:t>
      </w:r>
      <w:r>
        <w:rPr>
          <w:rFonts w:hint="eastAsia" w:asciiTheme="minorEastAsia" w:hAnsiTheme="minorEastAsia" w:eastAsiaTheme="minorEastAsia"/>
          <w:sz w:val="24"/>
          <w:szCs w:val="24"/>
        </w:rPr>
        <w:t>根据各监测井情况采用适宜型号的水泵进行抽水，达到采样技术要求。工作过程中解决好临时占地、损毁青苗及排水等问题。</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w:t>
      </w:r>
      <w:r>
        <w:rPr>
          <w:rFonts w:hint="eastAsia" w:asciiTheme="minorEastAsia" w:hAnsiTheme="minorEastAsia" w:eastAsiaTheme="minorEastAsia"/>
          <w:sz w:val="24"/>
          <w:szCs w:val="24"/>
        </w:rPr>
        <w:t>314</w:t>
      </w:r>
      <w:r>
        <w:rPr>
          <w:rFonts w:asciiTheme="minorEastAsia" w:hAnsiTheme="minorEastAsia" w:eastAsiaTheme="minorEastAsia"/>
          <w:sz w:val="24"/>
          <w:szCs w:val="24"/>
        </w:rPr>
        <w:t>个监测站</w:t>
      </w:r>
      <w:r>
        <w:rPr>
          <w:rFonts w:hint="eastAsia" w:asciiTheme="minorEastAsia" w:hAnsiTheme="minorEastAsia" w:eastAsiaTheme="minorEastAsia"/>
          <w:sz w:val="24"/>
          <w:szCs w:val="24"/>
        </w:rPr>
        <w:t>42</w:t>
      </w:r>
      <w:r>
        <w:rPr>
          <w:rFonts w:asciiTheme="minorEastAsia" w:hAnsiTheme="minorEastAsia" w:eastAsiaTheme="minorEastAsia"/>
          <w:sz w:val="24"/>
          <w:szCs w:val="24"/>
        </w:rPr>
        <w:t>项、</w:t>
      </w:r>
      <w:r>
        <w:rPr>
          <w:rFonts w:hint="eastAsia" w:asciiTheme="minorEastAsia" w:hAnsiTheme="minorEastAsia" w:eastAsiaTheme="minorEastAsia"/>
          <w:sz w:val="24"/>
          <w:szCs w:val="24"/>
        </w:rPr>
        <w:t>8个同步监测站</w:t>
      </w:r>
      <w:r>
        <w:rPr>
          <w:rFonts w:asciiTheme="minorEastAsia" w:hAnsiTheme="minorEastAsia" w:eastAsiaTheme="minorEastAsia"/>
          <w:sz w:val="24"/>
          <w:szCs w:val="24"/>
        </w:rPr>
        <w:t>93项的水质采样</w:t>
      </w:r>
      <w:r>
        <w:rPr>
          <w:rFonts w:hint="eastAsia" w:asciiTheme="minorEastAsia" w:hAnsiTheme="minorEastAsia" w:eastAsiaTheme="minorEastAsia"/>
          <w:sz w:val="24"/>
          <w:szCs w:val="24"/>
        </w:rPr>
        <w:t>：按照《地下水水质样品采集技术指南（试行）》（地下水〔2018〕91号）有关要求进行采样，现场填写《地下水采样记录表》，拍摄采样现场照片。采</w:t>
      </w:r>
      <w:r>
        <w:rPr>
          <w:rFonts w:asciiTheme="minorEastAsia" w:hAnsiTheme="minorEastAsia" w:eastAsiaTheme="minorEastAsia"/>
          <w:sz w:val="24"/>
          <w:szCs w:val="24"/>
        </w:rPr>
        <w:t>样结束后按原样恢复自动监测仪器设备，保持井孔内电缆顺直，按原状锁紧固定电缆，并协助</w:t>
      </w:r>
      <w:r>
        <w:rPr>
          <w:rFonts w:hint="eastAsia" w:asciiTheme="minorEastAsia" w:hAnsiTheme="minorEastAsia" w:eastAsiaTheme="minorEastAsia"/>
          <w:sz w:val="24"/>
          <w:szCs w:val="24"/>
        </w:rPr>
        <w:t>地市级分</w:t>
      </w:r>
      <w:r>
        <w:rPr>
          <w:rFonts w:asciiTheme="minorEastAsia" w:hAnsiTheme="minorEastAsia" w:eastAsiaTheme="minorEastAsia"/>
          <w:sz w:val="24"/>
          <w:szCs w:val="24"/>
        </w:rPr>
        <w:t>中心人员做好现场比测工作。撤离前进行安全检查，确保锁好保护装置。</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w:t>
      </w:r>
      <w:r>
        <w:rPr>
          <w:rFonts w:hint="eastAsia" w:asciiTheme="minorEastAsia" w:hAnsiTheme="minorEastAsia" w:eastAsiaTheme="minorEastAsia"/>
          <w:sz w:val="24"/>
          <w:szCs w:val="24"/>
        </w:rPr>
        <w:t>314</w:t>
      </w:r>
      <w:r>
        <w:rPr>
          <w:rFonts w:asciiTheme="minorEastAsia" w:hAnsiTheme="minorEastAsia" w:eastAsiaTheme="minorEastAsia"/>
          <w:sz w:val="24"/>
          <w:szCs w:val="24"/>
        </w:rPr>
        <w:t>个监测站</w:t>
      </w:r>
      <w:r>
        <w:rPr>
          <w:rFonts w:hint="eastAsia" w:asciiTheme="minorEastAsia" w:hAnsiTheme="minorEastAsia" w:eastAsiaTheme="minorEastAsia"/>
          <w:sz w:val="24"/>
          <w:szCs w:val="24"/>
        </w:rPr>
        <w:t>42</w:t>
      </w:r>
      <w:r>
        <w:rPr>
          <w:rFonts w:asciiTheme="minorEastAsia" w:hAnsiTheme="minorEastAsia" w:eastAsiaTheme="minorEastAsia"/>
          <w:sz w:val="24"/>
          <w:szCs w:val="24"/>
        </w:rPr>
        <w:t>项、8个同步监测站</w:t>
      </w:r>
      <w:r>
        <w:rPr>
          <w:rFonts w:hint="eastAsia" w:asciiTheme="minorEastAsia" w:hAnsiTheme="minorEastAsia" w:eastAsiaTheme="minorEastAsia"/>
          <w:sz w:val="24"/>
          <w:szCs w:val="24"/>
        </w:rPr>
        <w:t>水样运输（运送、寄送），抽水洗井应达到采样相关规范要求，提供全部水样容器。</w:t>
      </w:r>
      <w:r>
        <w:rPr>
          <w:rFonts w:asciiTheme="minorEastAsia" w:hAnsiTheme="minorEastAsia" w:eastAsiaTheme="minorEastAsia"/>
          <w:sz w:val="24"/>
          <w:szCs w:val="24"/>
        </w:rPr>
        <w:t>应安全及时运送所有水样到指定地点，如发生水样丢失或损毁，须重新按规定采送样。</w:t>
      </w:r>
    </w:p>
    <w:p>
      <w:pPr>
        <w:pStyle w:val="37"/>
        <w:adjustRightInd w:val="0"/>
        <w:snapToGrid w:val="0"/>
        <w:spacing w:before="0" w:beforeAutospacing="0" w:after="0" w:afterAutospacing="0" w:line="360" w:lineRule="auto"/>
        <w:ind w:firstLine="480" w:firstLineChars="200"/>
      </w:pPr>
      <w:r>
        <w:rPr>
          <w:rFonts w:asciiTheme="minorEastAsia" w:hAnsiTheme="minorEastAsia" w:eastAsiaTheme="minorEastAsia"/>
        </w:rPr>
        <w:t>14、</w:t>
      </w:r>
      <w:r>
        <w:rPr>
          <w:rFonts w:hint="eastAsia" w:asciiTheme="minorEastAsia" w:hAnsiTheme="minorEastAsia" w:eastAsiaTheme="minorEastAsia"/>
        </w:rPr>
        <w:t>314</w:t>
      </w:r>
      <w:r>
        <w:rPr>
          <w:rFonts w:asciiTheme="minorEastAsia" w:hAnsiTheme="minorEastAsia" w:eastAsiaTheme="minorEastAsia"/>
        </w:rPr>
        <w:t>个</w:t>
      </w:r>
      <w:r>
        <w:rPr>
          <w:rFonts w:hint="eastAsia"/>
        </w:rPr>
        <w:t>监测站水质样品检测：应符合《地下水质量标准》（GB/T 14848-2017）中感官性状及一般化学指标（常规指标）的规范要求，出具水质评价报告、质控报告、检测报告，提交水质监测数据成果汇总表等。质控报告和水质监测数据成果应满足《水环境监测规范》（SL219-2013）数据记录、处理、审核和实验室质量控制等要求。</w:t>
      </w:r>
    </w:p>
    <w:p>
      <w:pPr>
        <w:rPr>
          <w:rFonts w:ascii="宋体" w:hAnsi="宋体"/>
          <w:color w:val="000000" w:themeColor="text1"/>
          <w:szCs w:val="24"/>
          <w:highlight w:val="yellow"/>
        </w:rPr>
      </w:pPr>
    </w:p>
    <w:p>
      <w:pPr>
        <w:pStyle w:val="36"/>
        <w:spacing w:line="360" w:lineRule="auto"/>
        <w:jc w:val="center"/>
        <w:rPr>
          <w:rFonts w:ascii="宋体" w:hAnsi="宋体" w:cs="宋体"/>
          <w:b/>
          <w:bCs/>
          <w:color w:val="0D1E0F"/>
        </w:rPr>
      </w:pPr>
      <w:r>
        <w:rPr>
          <w:rFonts w:hint="eastAsia" w:ascii="宋体" w:hAnsi="宋体" w:cs="宋体"/>
          <w:b/>
          <w:bCs/>
          <w:color w:val="0D1E0F"/>
        </w:rPr>
        <w:t>地下水水质检测指标一览表（42项）</w:t>
      </w:r>
    </w:p>
    <w:tbl>
      <w:tblPr>
        <w:tblStyle w:val="41"/>
        <w:tblW w:w="8015" w:type="dxa"/>
        <w:jc w:val="center"/>
        <w:tblLayout w:type="fixed"/>
        <w:tblCellMar>
          <w:top w:w="0" w:type="dxa"/>
          <w:left w:w="108" w:type="dxa"/>
          <w:bottom w:w="0" w:type="dxa"/>
          <w:right w:w="108" w:type="dxa"/>
        </w:tblCellMar>
      </w:tblPr>
      <w:tblGrid>
        <w:gridCol w:w="1080"/>
        <w:gridCol w:w="3160"/>
        <w:gridCol w:w="1080"/>
        <w:gridCol w:w="2695"/>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w:t>
            </w:r>
          </w:p>
        </w:tc>
      </w:tr>
      <w:tr>
        <w:tblPrEx>
          <w:tblCellMar>
            <w:top w:w="0" w:type="dxa"/>
            <w:left w:w="108" w:type="dxa"/>
            <w:bottom w:w="0" w:type="dxa"/>
            <w:right w:w="108" w:type="dxa"/>
          </w:tblCellMar>
        </w:tblPrEx>
        <w:trPr>
          <w:trHeight w:val="317"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色度（铂钴色度单位）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菌落总数CFU/100mL）</w:t>
            </w:r>
          </w:p>
        </w:tc>
      </w:tr>
      <w:tr>
        <w:tblPrEx>
          <w:tblCellMar>
            <w:top w:w="0" w:type="dxa"/>
            <w:left w:w="108" w:type="dxa"/>
            <w:bottom w:w="0" w:type="dxa"/>
            <w:right w:w="108" w:type="dxa"/>
          </w:tblCellMar>
        </w:tblPrEx>
        <w:trPr>
          <w:trHeight w:val="51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嗅和味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亚硝酸盐（以N计，mg/L）</w:t>
            </w:r>
          </w:p>
        </w:tc>
      </w:tr>
      <w:tr>
        <w:tblPrEx>
          <w:tblCellMar>
            <w:top w:w="0" w:type="dxa"/>
            <w:left w:w="108" w:type="dxa"/>
            <w:bottom w:w="0" w:type="dxa"/>
            <w:right w:w="108" w:type="dxa"/>
          </w:tblCellMar>
        </w:tblPrEx>
        <w:trPr>
          <w:trHeight w:val="51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混浊度/NTU</w:t>
            </w:r>
            <w:r>
              <w:rPr>
                <w:rFonts w:hint="eastAsia" w:ascii="宋体" w:hAnsi="宋体" w:cs="宋体"/>
                <w:color w:val="000000"/>
                <w:kern w:val="0"/>
                <w:szCs w:val="21"/>
                <w:vertAlign w:val="superscript"/>
              </w:rPr>
              <w:t>a</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硝酸盐（以N计，mg/L）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肉眼可见物</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氰化物(mg/L)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pH值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氟化物(mg/L)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总硬度（以CaCO3计,mg/L）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碘化物(mg/L)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溶解性总固体(mg/L)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汞(mg/L)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硫酸盐(mg/L)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砷(mg/L)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氯化物(mg/L)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硒(mg/L)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镉(mg/L)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锰(mg/L)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铬（六价）(mg/L)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铜(mg/L)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铅(mg/L)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锌(mg/L)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三氯甲烷(</w:t>
            </w:r>
            <w:r>
              <w:rPr>
                <w:rFonts w:ascii="Arial" w:hAnsi="Arial" w:cs="Arial"/>
                <w:color w:val="000000"/>
                <w:kern w:val="0"/>
                <w:sz w:val="20"/>
                <w:szCs w:val="20"/>
              </w:rPr>
              <w:t>μg</w:t>
            </w:r>
            <w:r>
              <w:rPr>
                <w:rFonts w:hint="eastAsia" w:ascii="宋体" w:hAnsi="宋体" w:cs="宋体"/>
                <w:color w:val="000000"/>
                <w:kern w:val="0"/>
                <w:szCs w:val="21"/>
              </w:rPr>
              <w:t>/L)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铝(mg/L)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四氯化碳(</w:t>
            </w:r>
            <w:r>
              <w:rPr>
                <w:rFonts w:ascii="Arial" w:hAnsi="Arial" w:cs="Arial"/>
                <w:color w:val="000000"/>
                <w:kern w:val="0"/>
                <w:sz w:val="20"/>
                <w:szCs w:val="20"/>
              </w:rPr>
              <w:t>μg</w:t>
            </w:r>
            <w:r>
              <w:rPr>
                <w:rFonts w:hint="eastAsia" w:ascii="宋体" w:hAnsi="宋体" w:cs="宋体"/>
                <w:color w:val="000000"/>
                <w:kern w:val="0"/>
                <w:szCs w:val="21"/>
              </w:rPr>
              <w:t>/L)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挥发性酚类(以苯酚计)(mg/L)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苯(</w:t>
            </w:r>
            <w:r>
              <w:rPr>
                <w:rFonts w:ascii="Arial" w:hAnsi="Arial" w:cs="Arial"/>
                <w:color w:val="000000"/>
                <w:kern w:val="0"/>
                <w:sz w:val="20"/>
                <w:szCs w:val="20"/>
              </w:rPr>
              <w:t>μg</w:t>
            </w:r>
            <w:r>
              <w:rPr>
                <w:rFonts w:hint="eastAsia" w:ascii="宋体" w:hAnsi="宋体" w:cs="宋体"/>
                <w:color w:val="000000"/>
                <w:kern w:val="0"/>
                <w:szCs w:val="21"/>
              </w:rPr>
              <w:t>/L)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阴离子表面活性剂(mg/L)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甲苯(</w:t>
            </w:r>
            <w:r>
              <w:rPr>
                <w:rFonts w:ascii="Arial" w:hAnsi="Arial" w:cs="Arial"/>
                <w:color w:val="000000"/>
                <w:kern w:val="0"/>
                <w:sz w:val="20"/>
                <w:szCs w:val="20"/>
              </w:rPr>
              <w:t>μg</w:t>
            </w:r>
            <w:r>
              <w:rPr>
                <w:rFonts w:hint="eastAsia" w:ascii="宋体" w:hAnsi="宋体" w:cs="宋体"/>
                <w:color w:val="000000"/>
                <w:kern w:val="0"/>
                <w:szCs w:val="21"/>
              </w:rPr>
              <w:t>/L)</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耗氧量（CODMn法，以O</w:t>
            </w:r>
            <w:r>
              <w:rPr>
                <w:rFonts w:hint="eastAsia" w:ascii="宋体" w:hAnsi="宋体" w:cs="宋体"/>
                <w:color w:val="000000"/>
                <w:kern w:val="0"/>
                <w:szCs w:val="21"/>
                <w:vertAlign w:val="subscript"/>
              </w:rPr>
              <w:t>2</w:t>
            </w:r>
            <w:r>
              <w:rPr>
                <w:rFonts w:hint="eastAsia" w:ascii="宋体" w:hAnsi="宋体" w:cs="宋体"/>
                <w:color w:val="000000"/>
                <w:kern w:val="0"/>
                <w:szCs w:val="21"/>
              </w:rPr>
              <w:t>计，mg/L）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钾(mg/L)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氨氮（以N计，mg/L）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钙(mg/L)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硫化物(mg/L)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镁(mg/L)</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钠(mg/L)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碳酸根(mg/L)</w:t>
            </w: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总大肠菌群（MPN</w:t>
            </w:r>
            <w:r>
              <w:rPr>
                <w:rFonts w:hint="eastAsia" w:ascii="宋体" w:hAnsi="宋体" w:cs="宋体"/>
                <w:color w:val="000000"/>
                <w:kern w:val="0"/>
                <w:szCs w:val="21"/>
                <w:vertAlign w:val="superscript"/>
              </w:rPr>
              <w:t>b</w:t>
            </w:r>
            <w:r>
              <w:rPr>
                <w:rFonts w:hint="eastAsia" w:ascii="宋体" w:hAnsi="宋体" w:cs="宋体"/>
                <w:color w:val="000000"/>
                <w:kern w:val="0"/>
                <w:szCs w:val="21"/>
              </w:rPr>
              <w:t>/100mL或CFU</w:t>
            </w:r>
            <w:r>
              <w:rPr>
                <w:rFonts w:hint="eastAsia" w:ascii="宋体" w:hAnsi="宋体" w:cs="宋体"/>
                <w:color w:val="000000"/>
                <w:kern w:val="0"/>
                <w:szCs w:val="21"/>
                <w:vertAlign w:val="superscript"/>
              </w:rPr>
              <w:t>c</w:t>
            </w:r>
            <w:r>
              <w:rPr>
                <w:rFonts w:hint="eastAsia" w:ascii="宋体" w:hAnsi="宋体" w:cs="宋体"/>
                <w:color w:val="000000"/>
                <w:kern w:val="0"/>
                <w:szCs w:val="21"/>
              </w:rPr>
              <w:t>/100mL）</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26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重碳酸根(mg/L)</w:t>
            </w:r>
          </w:p>
        </w:tc>
      </w:tr>
      <w:tr>
        <w:tblPrEx>
          <w:tblCellMar>
            <w:top w:w="0" w:type="dxa"/>
            <w:left w:w="108" w:type="dxa"/>
            <w:bottom w:w="0" w:type="dxa"/>
            <w:right w:w="108" w:type="dxa"/>
          </w:tblCellMar>
        </w:tblPrEx>
        <w:trPr>
          <w:trHeight w:val="270" w:hRule="atLeast"/>
          <w:jc w:val="center"/>
        </w:trPr>
        <w:tc>
          <w:tcPr>
            <w:tcW w:w="8015" w:type="dxa"/>
            <w:gridSpan w:val="4"/>
            <w:tcBorders>
              <w:top w:val="single" w:color="auto" w:sz="4" w:space="0"/>
              <w:left w:val="single" w:color="auto" w:sz="4" w:space="0"/>
              <w:bottom w:val="nil"/>
              <w:right w:val="single" w:color="000000" w:sz="4" w:space="0"/>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a NTU为散射浊度单位。</w:t>
            </w:r>
          </w:p>
        </w:tc>
      </w:tr>
      <w:tr>
        <w:tblPrEx>
          <w:tblCellMar>
            <w:top w:w="0" w:type="dxa"/>
            <w:left w:w="108" w:type="dxa"/>
            <w:bottom w:w="0" w:type="dxa"/>
            <w:right w:w="108" w:type="dxa"/>
          </w:tblCellMar>
        </w:tblPrEx>
        <w:trPr>
          <w:trHeight w:val="270" w:hRule="atLeast"/>
          <w:jc w:val="center"/>
        </w:trPr>
        <w:tc>
          <w:tcPr>
            <w:tcW w:w="8015" w:type="dxa"/>
            <w:gridSpan w:val="4"/>
            <w:tcBorders>
              <w:top w:val="nil"/>
              <w:left w:val="single" w:color="auto" w:sz="4" w:space="0"/>
              <w:bottom w:val="nil"/>
              <w:right w:val="single" w:color="000000" w:sz="4" w:space="0"/>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b MPN表示最可能数。</w:t>
            </w:r>
          </w:p>
        </w:tc>
      </w:tr>
      <w:tr>
        <w:tblPrEx>
          <w:tblCellMar>
            <w:top w:w="0" w:type="dxa"/>
            <w:left w:w="108" w:type="dxa"/>
            <w:bottom w:w="0" w:type="dxa"/>
            <w:right w:w="108" w:type="dxa"/>
          </w:tblCellMar>
        </w:tblPrEx>
        <w:trPr>
          <w:trHeight w:val="270" w:hRule="atLeast"/>
          <w:jc w:val="center"/>
        </w:trPr>
        <w:tc>
          <w:tcPr>
            <w:tcW w:w="8015" w:type="dxa"/>
            <w:gridSpan w:val="4"/>
            <w:tcBorders>
              <w:top w:val="nil"/>
              <w:left w:val="single" w:color="auto" w:sz="4" w:space="0"/>
              <w:bottom w:val="single" w:color="auto" w:sz="4" w:space="0"/>
              <w:right w:val="single" w:color="000000" w:sz="4" w:space="0"/>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c CFU表示菌落形成单位。</w:t>
            </w:r>
          </w:p>
        </w:tc>
      </w:tr>
    </w:tbl>
    <w:p>
      <w:pPr>
        <w:pStyle w:val="36"/>
        <w:spacing w:line="360" w:lineRule="auto"/>
        <w:rPr>
          <w:rFonts w:ascii="宋体" w:hAnsi="宋体" w:cs="宋体"/>
          <w:b/>
          <w:bCs/>
          <w:color w:val="0D1E0F"/>
        </w:rPr>
      </w:pPr>
    </w:p>
    <w:p>
      <w:pPr>
        <w:pStyle w:val="5"/>
        <w:numPr>
          <w:ilvl w:val="0"/>
          <w:numId w:val="0"/>
        </w:numPr>
        <w:spacing w:line="500" w:lineRule="exact"/>
        <w:ind w:left="602"/>
        <w:rPr>
          <w:rFonts w:ascii="宋体" w:hAnsi="宋体"/>
          <w:bCs w:val="0"/>
          <w:color w:val="000000" w:themeColor="text1"/>
          <w:szCs w:val="24"/>
        </w:rPr>
      </w:pPr>
      <w:bookmarkStart w:id="30" w:name="_Toc414384909"/>
      <w:bookmarkStart w:id="31" w:name="_Toc17533"/>
      <w:bookmarkStart w:id="32" w:name="_Toc42206684"/>
      <w:r>
        <w:rPr>
          <w:rFonts w:hint="eastAsia" w:ascii="宋体" w:hAnsi="宋体"/>
          <w:bCs w:val="0"/>
          <w:color w:val="000000" w:themeColor="text1"/>
          <w:szCs w:val="24"/>
        </w:rPr>
        <w:t>五</w:t>
      </w:r>
      <w:r>
        <w:rPr>
          <w:rFonts w:ascii="宋体" w:hAnsi="宋体"/>
          <w:bCs w:val="0"/>
          <w:color w:val="000000" w:themeColor="text1"/>
          <w:szCs w:val="24"/>
        </w:rPr>
        <w:t>、提交成果</w:t>
      </w:r>
      <w:bookmarkEnd w:id="30"/>
      <w:bookmarkEnd w:id="31"/>
      <w:bookmarkEnd w:id="32"/>
    </w:p>
    <w:p>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1、2020年实施方案，纸质版3份，电子版1份。</w:t>
      </w:r>
    </w:p>
    <w:p>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2、地下水监测系统运维工作报告及有关附件（内容包括校测、井深测量、设备维护等现场记录，系统运行维护记录，系统到报率、完整率、交换率等统计），纸质版3份，电子版1份。</w:t>
      </w:r>
    </w:p>
    <w:p>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3、全国地下水监测资料年鉴2019安徽卷10套，按有关要求寄送甲方5套，剩余交由安徽省水文局保管，电子版1套。</w:t>
      </w:r>
    </w:p>
    <w:p>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4、地下水水质监测工作报告、检测报告、评价报告、质控报告纸质版各2份，电子版各1份；地下水采样记录表纸质版1份；水质监测数据成果汇总表电子版1份，采样人员现场采样照片及已采的水质样品照片电子版1份。电子版以电子光盘形式提供。</w:t>
      </w:r>
    </w:p>
    <w:p>
      <w:pPr>
        <w:pStyle w:val="5"/>
        <w:numPr>
          <w:ilvl w:val="0"/>
          <w:numId w:val="3"/>
        </w:numPr>
        <w:spacing w:line="500" w:lineRule="exact"/>
        <w:rPr>
          <w:rFonts w:ascii="宋体" w:hAnsi="宋体"/>
          <w:bCs w:val="0"/>
          <w:color w:val="000000" w:themeColor="text1"/>
          <w:szCs w:val="24"/>
        </w:rPr>
      </w:pPr>
      <w:bookmarkStart w:id="33" w:name="_Toc42206685"/>
      <w:r>
        <w:rPr>
          <w:rFonts w:hint="eastAsia" w:ascii="宋体" w:hAnsi="宋体"/>
          <w:bCs w:val="0"/>
          <w:color w:val="000000" w:themeColor="text1"/>
          <w:szCs w:val="24"/>
        </w:rPr>
        <w:t>项目实施进度要求</w:t>
      </w:r>
      <w:bookmarkEnd w:id="33"/>
    </w:p>
    <w:p>
      <w:pPr>
        <w:adjustRightInd w:val="0"/>
        <w:snapToGrid w:val="0"/>
        <w:spacing w:line="360" w:lineRule="auto"/>
        <w:ind w:firstLine="360" w:firstLineChars="150"/>
        <w:rPr>
          <w:rFonts w:ascii="宋体" w:hAnsi="宋体"/>
          <w:color w:val="000000" w:themeColor="text1"/>
          <w:sz w:val="24"/>
        </w:rPr>
      </w:pPr>
      <w:r>
        <w:rPr>
          <w:rFonts w:hint="eastAsia" w:ascii="宋体" w:hAnsi="宋体"/>
          <w:color w:val="000000" w:themeColor="text1"/>
          <w:sz w:val="24"/>
        </w:rPr>
        <w:t>中标公示期满后签订合同之时，中标人需提交实施方案，经业主认可后组织实施。原则上2020年12月底应完成仪器校测、水质采样与检测、资料整编和年鉴刊印等主要工作任务。</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投标人必须按照上述总体进度要求细化工作任务，制定项目实施计划表，并提出合理有效的保障措施。不符合上述服务期要求的，将作为未实质性响应的投标。</w:t>
      </w:r>
    </w:p>
    <w:p>
      <w:pPr>
        <w:pStyle w:val="5"/>
        <w:numPr>
          <w:ilvl w:val="0"/>
          <w:numId w:val="0"/>
        </w:numPr>
        <w:spacing w:line="500" w:lineRule="exact"/>
        <w:ind w:left="602"/>
        <w:rPr>
          <w:rFonts w:ascii="宋体" w:hAnsi="宋体"/>
          <w:bCs w:val="0"/>
          <w:color w:val="000000" w:themeColor="text1"/>
          <w:szCs w:val="24"/>
        </w:rPr>
      </w:pPr>
      <w:bookmarkStart w:id="34" w:name="_Toc18633"/>
      <w:bookmarkStart w:id="35" w:name="_Toc42206686"/>
      <w:r>
        <w:rPr>
          <w:rFonts w:hint="eastAsia" w:ascii="宋体" w:hAnsi="宋体"/>
          <w:bCs w:val="0"/>
          <w:color w:val="000000" w:themeColor="text1"/>
          <w:szCs w:val="24"/>
        </w:rPr>
        <w:t>七、报价</w:t>
      </w:r>
      <w:r>
        <w:rPr>
          <w:rFonts w:ascii="宋体" w:hAnsi="宋体"/>
          <w:bCs w:val="0"/>
          <w:color w:val="000000" w:themeColor="text1"/>
          <w:szCs w:val="24"/>
        </w:rPr>
        <w:t>与测算</w:t>
      </w:r>
      <w:r>
        <w:rPr>
          <w:rFonts w:hint="eastAsia" w:ascii="宋体" w:hAnsi="宋体"/>
          <w:bCs w:val="0"/>
          <w:color w:val="000000" w:themeColor="text1"/>
          <w:szCs w:val="24"/>
        </w:rPr>
        <w:t>依据</w:t>
      </w:r>
      <w:bookmarkEnd w:id="34"/>
      <w:bookmarkEnd w:id="35"/>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本次招标投标人须根据指南所确定的工作任务进行报价，并做出详细的报价说明。投标报价应为人民币，投标报价包含投标人完成本项目全部合同工作内容所需的全部费用：包括差旅费、交通费、办公用品费、印刷费、资料整编费、看护费、工作人员工资、设备费、运输费、化验费、电费、招标代理服务费、合同验收费、利润、税费、风险以及各种保险、青苗补偿、临时占地等一切费用。如出现报价漏项，漏报部分费用将被视为包含在总报价内。</w:t>
      </w:r>
    </w:p>
    <w:p>
      <w:pPr>
        <w:pStyle w:val="2"/>
        <w:ind w:firstLine="560"/>
      </w:pPr>
    </w:p>
    <w:p>
      <w:pPr>
        <w:pStyle w:val="5"/>
        <w:numPr>
          <w:ilvl w:val="0"/>
          <w:numId w:val="0"/>
        </w:numPr>
        <w:spacing w:line="500" w:lineRule="exact"/>
        <w:ind w:left="602"/>
        <w:rPr>
          <w:rFonts w:ascii="宋体" w:hAnsi="宋体"/>
          <w:bCs w:val="0"/>
          <w:color w:val="000000" w:themeColor="text1"/>
          <w:szCs w:val="24"/>
        </w:rPr>
      </w:pPr>
      <w:bookmarkStart w:id="36" w:name="_Toc42206687"/>
      <w:bookmarkStart w:id="37" w:name="_Toc30505"/>
      <w:bookmarkStart w:id="38" w:name="_Toc445018839"/>
      <w:bookmarkStart w:id="39" w:name="_Toc414384913"/>
      <w:r>
        <w:rPr>
          <w:rFonts w:hint="eastAsia" w:ascii="宋体" w:hAnsi="宋体"/>
          <w:bCs w:val="0"/>
          <w:color w:val="000000" w:themeColor="text1"/>
          <w:szCs w:val="24"/>
        </w:rPr>
        <w:t>八、投标文件内容要求</w:t>
      </w:r>
      <w:bookmarkEnd w:id="36"/>
      <w:bookmarkEnd w:id="37"/>
      <w:bookmarkEnd w:id="38"/>
      <w:bookmarkEnd w:id="39"/>
    </w:p>
    <w:p>
      <w:pPr>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1、对项目有深刻的理解，结合投标人参与完成其他同类项目的丰富经验，对本项目的各项内容理解深刻；</w:t>
      </w:r>
    </w:p>
    <w:p>
      <w:pPr>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2、方案全面完整、合理可行、方法科学、层次清晰，可操作性强；</w:t>
      </w:r>
    </w:p>
    <w:p>
      <w:pPr>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3、人员队伍整齐，软硬件设备先进，工作经费与人员有保障；</w:t>
      </w:r>
    </w:p>
    <w:p>
      <w:pPr>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4、实施计划阶段划分合理，关键点明确，提交成果完备，进度安排合理，且相关保障措施得力，对各项关键工作安排合理；</w:t>
      </w:r>
    </w:p>
    <w:p>
      <w:pPr>
        <w:adjustRightInd w:val="0"/>
        <w:snapToGrid w:val="0"/>
        <w:spacing w:line="360" w:lineRule="auto"/>
        <w:ind w:firstLine="480" w:firstLineChars="200"/>
        <w:rPr>
          <w:color w:val="000000" w:themeColor="text1"/>
          <w:szCs w:val="24"/>
        </w:rPr>
      </w:pPr>
      <w:r>
        <w:rPr>
          <w:rFonts w:ascii="宋体" w:hAnsi="宋体"/>
          <w:color w:val="000000" w:themeColor="text1"/>
          <w:sz w:val="24"/>
        </w:rPr>
        <w:t>5、后续服务及承诺可信，针对项目提供合理化建议以及服务承诺。</w:t>
      </w:r>
    </w:p>
    <w:p>
      <w:pPr>
        <w:pStyle w:val="3"/>
        <w:spacing w:before="0" w:after="0" w:line="360" w:lineRule="auto"/>
        <w:jc w:val="center"/>
        <w:rPr>
          <w:rFonts w:ascii="宋体" w:hAnsi="宋体"/>
          <w:color w:val="000000" w:themeColor="text1"/>
          <w:kern w:val="2"/>
          <w:sz w:val="36"/>
          <w:szCs w:val="36"/>
        </w:rPr>
      </w:pPr>
      <w:r>
        <w:rPr>
          <w:rFonts w:eastAsia="仿宋_GB2312"/>
          <w:b w:val="0"/>
          <w:color w:val="000000" w:themeColor="text1"/>
          <w:sz w:val="30"/>
          <w:szCs w:val="30"/>
        </w:rPr>
        <w:br w:type="page"/>
      </w:r>
      <w:bookmarkStart w:id="40" w:name="_Toc42206688"/>
      <w:bookmarkStart w:id="41" w:name="_Toc20336"/>
      <w:bookmarkStart w:id="42" w:name="_Toc414384914"/>
      <w:r>
        <w:rPr>
          <w:rFonts w:hint="eastAsia" w:ascii="宋体" w:hAnsi="宋体"/>
          <w:color w:val="000000" w:themeColor="text1"/>
          <w:kern w:val="2"/>
          <w:sz w:val="36"/>
          <w:szCs w:val="36"/>
        </w:rPr>
        <w:t>招标文件</w:t>
      </w:r>
      <w:r>
        <w:rPr>
          <w:rFonts w:ascii="宋体" w:hAnsi="宋体"/>
          <w:color w:val="000000" w:themeColor="text1"/>
          <w:kern w:val="2"/>
          <w:sz w:val="36"/>
          <w:szCs w:val="36"/>
        </w:rPr>
        <w:t>3：投标人须知</w:t>
      </w:r>
      <w:bookmarkEnd w:id="21"/>
      <w:bookmarkEnd w:id="40"/>
      <w:bookmarkEnd w:id="41"/>
      <w:bookmarkEnd w:id="42"/>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43" w:name="_Toc414384915"/>
      <w:bookmarkStart w:id="44" w:name="_Toc7387"/>
      <w:bookmarkStart w:id="45" w:name="_Toc42206689"/>
      <w:bookmarkStart w:id="46" w:name="_Toc123272998"/>
      <w:r>
        <w:rPr>
          <w:rFonts w:hint="eastAsia" w:ascii="宋体" w:hAnsi="宋体" w:eastAsia="宋体"/>
          <w:bCs w:val="0"/>
          <w:color w:val="000000" w:themeColor="text1"/>
          <w:sz w:val="28"/>
          <w:szCs w:val="28"/>
        </w:rPr>
        <w:t>一、总则</w:t>
      </w:r>
      <w:bookmarkEnd w:id="43"/>
      <w:bookmarkEnd w:id="44"/>
      <w:bookmarkEnd w:id="45"/>
    </w:p>
    <w:p>
      <w:pPr>
        <w:spacing w:line="500" w:lineRule="exact"/>
        <w:rPr>
          <w:rFonts w:ascii="宋体" w:hAnsi="宋体"/>
          <w:b/>
          <w:color w:val="000000" w:themeColor="text1"/>
          <w:sz w:val="24"/>
        </w:rPr>
      </w:pPr>
      <w:r>
        <w:rPr>
          <w:rFonts w:ascii="宋体" w:hAnsi="宋体"/>
          <w:b/>
          <w:color w:val="000000" w:themeColor="text1"/>
          <w:sz w:val="24"/>
        </w:rPr>
        <w:t>1</w:t>
      </w:r>
      <w:r>
        <w:rPr>
          <w:rFonts w:hint="eastAsia" w:ascii="宋体" w:hAnsi="宋体"/>
          <w:b/>
          <w:color w:val="000000" w:themeColor="text1"/>
          <w:sz w:val="24"/>
        </w:rPr>
        <w:t>、资金来源</w:t>
      </w:r>
    </w:p>
    <w:p>
      <w:pPr>
        <w:spacing w:line="400" w:lineRule="exact"/>
        <w:ind w:left="600"/>
        <w:rPr>
          <w:rFonts w:ascii="宋体" w:hAnsi="宋体"/>
          <w:color w:val="000000" w:themeColor="text1"/>
          <w:sz w:val="24"/>
        </w:rPr>
      </w:pPr>
      <w:r>
        <w:rPr>
          <w:rFonts w:hint="eastAsia" w:ascii="宋体" w:hAnsi="宋体"/>
          <w:color w:val="000000" w:themeColor="text1"/>
          <w:sz w:val="24"/>
        </w:rPr>
        <w:t>资金来源：中央预算资金。</w:t>
      </w:r>
    </w:p>
    <w:p>
      <w:pPr>
        <w:spacing w:line="500" w:lineRule="exact"/>
        <w:rPr>
          <w:rFonts w:ascii="宋体" w:hAnsi="宋体"/>
          <w:b/>
          <w:color w:val="000000" w:themeColor="text1"/>
          <w:sz w:val="24"/>
        </w:rPr>
      </w:pPr>
      <w:r>
        <w:rPr>
          <w:rFonts w:ascii="宋体" w:hAnsi="宋体"/>
          <w:b/>
          <w:color w:val="000000" w:themeColor="text1"/>
          <w:sz w:val="24"/>
        </w:rPr>
        <w:t>2、</w:t>
      </w:r>
      <w:r>
        <w:rPr>
          <w:rFonts w:ascii="宋体" w:hAnsi="宋体"/>
          <w:b/>
          <w:color w:val="000000" w:themeColor="text1"/>
          <w:sz w:val="24"/>
        </w:rPr>
        <w:tab/>
      </w:r>
      <w:r>
        <w:rPr>
          <w:rFonts w:hint="eastAsia" w:ascii="宋体" w:hAnsi="宋体"/>
          <w:b/>
          <w:color w:val="000000" w:themeColor="text1"/>
          <w:sz w:val="24"/>
        </w:rPr>
        <w:t>合格投标人资格要求</w:t>
      </w:r>
    </w:p>
    <w:p>
      <w:pPr>
        <w:adjustRightInd w:val="0"/>
        <w:snapToGrid w:val="0"/>
        <w:spacing w:line="360" w:lineRule="auto"/>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1）应当具备政府采购法第二十二条第一款规定的条件：</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①法人或者其他组织的营业执照等证明文件，自然人的身份证明；</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②财务状况报告，依法缴纳税收和社会保障资金的相关材料；</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③具备履行合同所必需的设备和专业技术能力的证明材料；</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④参加政府采购活动前三年内在经营活动中没有重大违法记录的书面声明；</w:t>
      </w:r>
    </w:p>
    <w:p>
      <w:pPr>
        <w:adjustRightInd w:val="0"/>
        <w:snapToGrid w:val="0"/>
        <w:spacing w:line="360" w:lineRule="auto"/>
        <w:ind w:left="532" w:leftChars="82" w:hanging="360" w:hangingChars="150"/>
        <w:rPr>
          <w:rFonts w:ascii="宋体" w:hAnsi="宋体"/>
          <w:color w:val="000000" w:themeColor="text1"/>
          <w:sz w:val="24"/>
          <w:szCs w:val="24"/>
        </w:rPr>
      </w:pPr>
      <w:r>
        <w:rPr>
          <w:rFonts w:hint="eastAsia" w:ascii="宋体" w:hAnsi="宋体"/>
          <w:color w:val="000000" w:themeColor="text1"/>
          <w:sz w:val="24"/>
          <w:szCs w:val="24"/>
        </w:rPr>
        <w:t>⑤具备法律、行政法规规定的其他条件的证明材料。</w:t>
      </w:r>
    </w:p>
    <w:p>
      <w:pPr>
        <w:adjustRightInd w:val="0"/>
        <w:snapToGrid w:val="0"/>
        <w:spacing w:line="360" w:lineRule="auto"/>
        <w:ind w:left="562" w:leftChars="-18" w:hanging="600" w:hangingChars="250"/>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2）投标人的经营范围应是符合本次投标要求的，不接受外资检测单位或中外合资检测单位投标。</w:t>
      </w:r>
    </w:p>
    <w:p>
      <w:pPr>
        <w:adjustRightInd w:val="0"/>
        <w:snapToGrid w:val="0"/>
        <w:spacing w:line="360" w:lineRule="auto"/>
        <w:ind w:left="562" w:leftChars="-18" w:hanging="600" w:hangingChars="250"/>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3）</w:t>
      </w:r>
      <w:r>
        <w:rPr>
          <w:rFonts w:hint="eastAsia" w:ascii="Times New Roman" w:hAnsi="Times New Roman"/>
          <w:kern w:val="0"/>
          <w:sz w:val="24"/>
          <w:szCs w:val="24"/>
        </w:rPr>
        <w:t>参加本项目的投标人或参加联合体投标承担地下水水质监测任务的投标人应具有国家级或省级以上检验检测机构实验室资质认定资质（CMA），CMA证书包括42项指标，为《地下水质量标准》（GB/T14848-2017）中37项常规指标（总α放射性、总β放射性除外）及其他5项地下水化学指标（钾、钙、镁、碳酸根、重碳酸根）</w:t>
      </w:r>
      <w:r>
        <w:rPr>
          <w:rFonts w:hint="eastAsia"/>
          <w:kern w:val="0"/>
          <w:sz w:val="24"/>
          <w:szCs w:val="24"/>
        </w:rPr>
        <w:t>。</w:t>
      </w:r>
    </w:p>
    <w:p>
      <w:pPr>
        <w:adjustRightInd w:val="0"/>
        <w:snapToGrid w:val="0"/>
        <w:spacing w:line="360" w:lineRule="auto"/>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4</w:t>
      </w:r>
      <w:r>
        <w:rPr>
          <w:rFonts w:hint="eastAsia" w:ascii="宋体" w:hAnsi="宋体"/>
          <w:color w:val="000000" w:themeColor="text1"/>
          <w:sz w:val="24"/>
          <w:szCs w:val="24"/>
        </w:rPr>
        <w:t>）按照招标公告要求购买了招标文件。</w:t>
      </w:r>
    </w:p>
    <w:p>
      <w:pPr>
        <w:adjustRightInd w:val="0"/>
        <w:snapToGrid w:val="0"/>
        <w:spacing w:line="360" w:lineRule="auto"/>
        <w:ind w:left="562" w:leftChars="-18" w:hanging="600" w:hangingChars="250"/>
        <w:rPr>
          <w:rFonts w:ascii="宋体" w:hAnsi="宋体"/>
          <w:color w:val="000000"/>
          <w:sz w:val="24"/>
          <w:szCs w:val="20"/>
        </w:rPr>
      </w:pPr>
      <w:r>
        <w:rPr>
          <w:rFonts w:hint="eastAsia" w:ascii="宋体" w:hAnsi="宋体"/>
          <w:color w:val="000000" w:themeColor="text1"/>
          <w:sz w:val="24"/>
          <w:szCs w:val="24"/>
        </w:rPr>
        <w:t>（5）投标单位负责人为同一人或者存在直接控股、管理关系的不同供应商，不得参加同一合同项下的政府采购活动。以联合体形式参加政府采购活动的，联合体各方不得再单独参加或者与其他供应商另外组成联合体参加同一合同项下的政府采购活动。</w:t>
      </w:r>
    </w:p>
    <w:p>
      <w:pPr>
        <w:adjustRightInd w:val="0"/>
        <w:snapToGrid w:val="0"/>
        <w:spacing w:line="360" w:lineRule="auto"/>
        <w:ind w:left="562" w:leftChars="-18" w:hanging="600" w:hangingChars="250"/>
        <w:rPr>
          <w:rFonts w:ascii="宋体" w:hAnsi="宋体"/>
          <w:color w:val="000000" w:themeColor="text1"/>
          <w:sz w:val="24"/>
          <w:szCs w:val="24"/>
        </w:rPr>
      </w:pPr>
      <w:r>
        <w:rPr>
          <w:rFonts w:hint="eastAsia" w:ascii="宋体" w:hAnsi="宋体"/>
          <w:color w:val="000000" w:themeColor="text1"/>
          <w:sz w:val="24"/>
          <w:szCs w:val="24"/>
        </w:rPr>
        <w:t>（6）投标人不得为列入失信被执行人、重大税收违法案件当事人名单、政府采购严重违法失信行为记录名单的供应商。具体名单以“信用中国”网站（</w:t>
      </w:r>
      <w:r>
        <w:rPr>
          <w:rFonts w:ascii="宋体" w:hAnsi="宋体"/>
          <w:color w:val="000000" w:themeColor="text1"/>
          <w:sz w:val="24"/>
          <w:szCs w:val="24"/>
        </w:rPr>
        <w:t>www.creditchina.gov.cn）</w:t>
      </w:r>
      <w:r>
        <w:rPr>
          <w:rFonts w:hint="eastAsia" w:ascii="宋体" w:hAnsi="宋体"/>
          <w:color w:val="000000" w:themeColor="text1"/>
          <w:sz w:val="24"/>
          <w:szCs w:val="24"/>
        </w:rPr>
        <w:t>、中国政府采购网（</w:t>
      </w:r>
      <w:r>
        <w:rPr>
          <w:rFonts w:ascii="宋体" w:hAnsi="宋体"/>
          <w:color w:val="000000" w:themeColor="text1"/>
          <w:sz w:val="24"/>
          <w:szCs w:val="24"/>
        </w:rPr>
        <w:t>www.ccgp.gov.cn</w:t>
      </w:r>
      <w:r>
        <w:rPr>
          <w:rFonts w:hint="eastAsia" w:ascii="宋体" w:hAnsi="宋体"/>
          <w:color w:val="000000" w:themeColor="text1"/>
          <w:sz w:val="24"/>
          <w:szCs w:val="24"/>
        </w:rPr>
        <w:t>）</w:t>
      </w:r>
      <w:r>
        <w:rPr>
          <w:rFonts w:ascii="宋体" w:hAnsi="宋体"/>
          <w:color w:val="000000" w:themeColor="text1"/>
          <w:sz w:val="24"/>
          <w:szCs w:val="24"/>
        </w:rPr>
        <w:t>公布名单为准。采购代理机构将对供应商信用记录进行甄别，对列入失信被执行人、重大税收违法案件当事人名单、政府采购严重违法失信行为记录名单且在处罚期内的供应商，将拒绝其参与本次政府采购活动。</w:t>
      </w:r>
    </w:p>
    <w:p>
      <w:pPr>
        <w:spacing w:line="360" w:lineRule="auto"/>
        <w:ind w:left="480" w:hanging="480" w:hangingChars="200"/>
        <w:rPr>
          <w:rFonts w:ascii="宋体" w:hAnsi="宋体"/>
          <w:sz w:val="24"/>
          <w:szCs w:val="24"/>
        </w:rPr>
      </w:pPr>
      <w:r>
        <w:rPr>
          <w:rFonts w:hint="eastAsia" w:ascii="宋体" w:hAnsi="宋体"/>
          <w:color w:val="000000" w:themeColor="text1"/>
          <w:sz w:val="24"/>
          <w:szCs w:val="24"/>
        </w:rPr>
        <w:t>（7）本项目接受联合体投标。</w:t>
      </w:r>
      <w:r>
        <w:rPr>
          <w:rFonts w:hint="eastAsia" w:ascii="宋体" w:hAnsi="宋体"/>
          <w:sz w:val="24"/>
          <w:szCs w:val="24"/>
        </w:rPr>
        <w:t>参加联合体的供应商投标时应当提交联合协议，载明联合体各方承担的工作和义务。联合体各方应当共同与采购人签订采购合同，就采购合同约定的事项对采购人承担连带责任。联合体成员（含联合体牵头人）数量不得超过2家。</w:t>
      </w:r>
    </w:p>
    <w:p>
      <w:pPr>
        <w:spacing w:line="500" w:lineRule="exact"/>
        <w:rPr>
          <w:rFonts w:ascii="宋体" w:hAnsi="宋体"/>
          <w:b/>
          <w:color w:val="000000" w:themeColor="text1"/>
          <w:sz w:val="24"/>
        </w:rPr>
      </w:pPr>
      <w:r>
        <w:rPr>
          <w:rFonts w:ascii="宋体" w:hAnsi="宋体"/>
          <w:b/>
          <w:color w:val="000000" w:themeColor="text1"/>
          <w:sz w:val="24"/>
        </w:rPr>
        <w:t xml:space="preserve">3、 </w:t>
      </w:r>
      <w:r>
        <w:rPr>
          <w:rFonts w:hint="eastAsia" w:ascii="宋体" w:hAnsi="宋体"/>
          <w:b/>
          <w:color w:val="000000" w:themeColor="text1"/>
          <w:sz w:val="24"/>
        </w:rPr>
        <w:t>投标费用</w:t>
      </w:r>
    </w:p>
    <w:p>
      <w:pPr>
        <w:spacing w:line="500" w:lineRule="exact"/>
        <w:ind w:left="480" w:right="-21" w:hanging="480"/>
        <w:rPr>
          <w:rFonts w:ascii="宋体" w:hAnsi="宋体"/>
          <w:color w:val="000000" w:themeColor="text1"/>
          <w:sz w:val="24"/>
        </w:rPr>
      </w:pPr>
      <w:r>
        <w:rPr>
          <w:rFonts w:ascii="宋体" w:hAnsi="宋体"/>
          <w:color w:val="000000" w:themeColor="text1"/>
          <w:sz w:val="24"/>
        </w:rPr>
        <w:t xml:space="preserve">3.1 </w:t>
      </w:r>
      <w:r>
        <w:rPr>
          <w:rFonts w:hint="eastAsia" w:ascii="宋体" w:hAnsi="宋体"/>
          <w:color w:val="000000" w:themeColor="text1"/>
          <w:sz w:val="24"/>
        </w:rPr>
        <w:t>投标人应承担所有与编写和提交投标文件有关的费用，不论投标的结果如何，采购人在任何情况下均无义务和责任承担这些费用。</w:t>
      </w:r>
    </w:p>
    <w:p>
      <w:pPr>
        <w:spacing w:line="500" w:lineRule="exact"/>
        <w:ind w:left="480" w:right="-21" w:hanging="480"/>
        <w:rPr>
          <w:rFonts w:ascii="宋体" w:hAnsi="宋体"/>
          <w:color w:val="000000" w:themeColor="text1"/>
          <w:sz w:val="24"/>
        </w:rPr>
      </w:pPr>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47" w:name="_Toc414384916"/>
      <w:bookmarkStart w:id="48" w:name="_Toc28809"/>
      <w:bookmarkStart w:id="49" w:name="_Toc42206690"/>
      <w:r>
        <w:rPr>
          <w:rFonts w:hint="eastAsia" w:ascii="宋体" w:hAnsi="宋体" w:eastAsia="宋体"/>
          <w:bCs w:val="0"/>
          <w:color w:val="000000" w:themeColor="text1"/>
          <w:sz w:val="28"/>
          <w:szCs w:val="28"/>
        </w:rPr>
        <w:t>二、招标文件</w:t>
      </w:r>
      <w:bookmarkEnd w:id="47"/>
      <w:bookmarkEnd w:id="48"/>
      <w:bookmarkEnd w:id="49"/>
    </w:p>
    <w:p>
      <w:pPr>
        <w:spacing w:line="500" w:lineRule="exact"/>
        <w:ind w:left="600" w:hanging="600"/>
        <w:rPr>
          <w:rFonts w:ascii="宋体" w:hAnsi="宋体"/>
          <w:b/>
          <w:color w:val="000000" w:themeColor="text1"/>
          <w:sz w:val="24"/>
        </w:rPr>
      </w:pPr>
      <w:r>
        <w:rPr>
          <w:rFonts w:ascii="宋体" w:hAnsi="宋体"/>
          <w:b/>
          <w:color w:val="000000" w:themeColor="text1"/>
          <w:sz w:val="24"/>
        </w:rPr>
        <w:t xml:space="preserve">4、 </w:t>
      </w:r>
      <w:r>
        <w:rPr>
          <w:rFonts w:hint="eastAsia" w:ascii="宋体" w:hAnsi="宋体"/>
          <w:b/>
          <w:color w:val="000000" w:themeColor="text1"/>
          <w:sz w:val="24"/>
        </w:rPr>
        <w:t>招标文件构成</w:t>
      </w:r>
    </w:p>
    <w:p>
      <w:pPr>
        <w:spacing w:line="500" w:lineRule="exact"/>
        <w:ind w:left="600" w:hanging="600"/>
        <w:rPr>
          <w:rFonts w:ascii="宋体" w:hAnsi="宋体"/>
          <w:color w:val="000000" w:themeColor="text1"/>
          <w:sz w:val="24"/>
        </w:rPr>
      </w:pPr>
      <w:r>
        <w:rPr>
          <w:rFonts w:ascii="宋体" w:hAnsi="宋体"/>
          <w:color w:val="000000" w:themeColor="text1"/>
          <w:sz w:val="24"/>
        </w:rPr>
        <w:t>4.1  招标文件包括：</w:t>
      </w:r>
    </w:p>
    <w:p>
      <w:pPr>
        <w:spacing w:line="400" w:lineRule="exact"/>
        <w:ind w:left="600"/>
        <w:rPr>
          <w:rFonts w:ascii="宋体" w:hAnsi="宋体"/>
          <w:color w:val="000000" w:themeColor="text1"/>
          <w:sz w:val="24"/>
        </w:rPr>
      </w:pPr>
      <w:r>
        <w:rPr>
          <w:rFonts w:ascii="宋体" w:hAnsi="宋体"/>
          <w:color w:val="000000" w:themeColor="text1"/>
          <w:sz w:val="24"/>
        </w:rPr>
        <w:t xml:space="preserve">0            </w:t>
      </w:r>
      <w:r>
        <w:rPr>
          <w:rFonts w:hint="eastAsia" w:ascii="宋体" w:hAnsi="宋体"/>
          <w:color w:val="000000" w:themeColor="text1"/>
          <w:sz w:val="24"/>
        </w:rPr>
        <w:t>前附表</w:t>
      </w:r>
    </w:p>
    <w:p>
      <w:pPr>
        <w:spacing w:line="400" w:lineRule="exact"/>
        <w:ind w:left="600"/>
        <w:rPr>
          <w:rFonts w:ascii="宋体" w:hAnsi="宋体"/>
          <w:color w:val="000000" w:themeColor="text1"/>
          <w:sz w:val="24"/>
        </w:rPr>
      </w:pPr>
      <w:r>
        <w:rPr>
          <w:rFonts w:ascii="宋体" w:hAnsi="宋体"/>
          <w:color w:val="000000" w:themeColor="text1"/>
          <w:sz w:val="24"/>
        </w:rPr>
        <w:t xml:space="preserve">1            </w:t>
      </w:r>
      <w:r>
        <w:rPr>
          <w:rFonts w:hint="eastAsia" w:ascii="宋体" w:hAnsi="宋体"/>
          <w:color w:val="000000" w:themeColor="text1"/>
          <w:sz w:val="24"/>
        </w:rPr>
        <w:t>招标公告</w:t>
      </w:r>
    </w:p>
    <w:p>
      <w:pPr>
        <w:spacing w:line="400" w:lineRule="exact"/>
        <w:ind w:firstLine="600" w:firstLineChars="250"/>
        <w:rPr>
          <w:rFonts w:ascii="宋体" w:hAnsi="宋体"/>
          <w:color w:val="000000" w:themeColor="text1"/>
          <w:sz w:val="24"/>
        </w:rPr>
      </w:pPr>
      <w:r>
        <w:rPr>
          <w:rFonts w:ascii="宋体" w:hAnsi="宋体"/>
          <w:color w:val="000000" w:themeColor="text1"/>
          <w:sz w:val="24"/>
        </w:rPr>
        <w:t xml:space="preserve">2            </w:t>
      </w:r>
      <w:r>
        <w:rPr>
          <w:rFonts w:hint="eastAsia" w:ascii="宋体" w:hAnsi="宋体"/>
          <w:color w:val="000000" w:themeColor="text1"/>
          <w:sz w:val="24"/>
        </w:rPr>
        <w:t>招标项目指南</w:t>
      </w:r>
    </w:p>
    <w:p>
      <w:pPr>
        <w:spacing w:line="400" w:lineRule="exact"/>
        <w:ind w:firstLine="600" w:firstLineChars="250"/>
        <w:rPr>
          <w:rFonts w:ascii="宋体" w:hAnsi="宋体"/>
          <w:color w:val="000000" w:themeColor="text1"/>
          <w:sz w:val="24"/>
        </w:rPr>
      </w:pPr>
      <w:r>
        <w:rPr>
          <w:rFonts w:ascii="宋体" w:hAnsi="宋体"/>
          <w:color w:val="000000" w:themeColor="text1"/>
          <w:sz w:val="24"/>
        </w:rPr>
        <w:t xml:space="preserve">3            </w:t>
      </w:r>
      <w:r>
        <w:rPr>
          <w:rFonts w:hint="eastAsia" w:ascii="宋体" w:hAnsi="宋体"/>
          <w:color w:val="000000" w:themeColor="text1"/>
          <w:sz w:val="24"/>
        </w:rPr>
        <w:t>投标人须知</w:t>
      </w:r>
    </w:p>
    <w:p>
      <w:pPr>
        <w:spacing w:line="400" w:lineRule="exact"/>
        <w:ind w:left="600"/>
        <w:rPr>
          <w:rFonts w:ascii="宋体" w:hAnsi="宋体"/>
          <w:color w:val="000000" w:themeColor="text1"/>
          <w:sz w:val="24"/>
        </w:rPr>
      </w:pPr>
      <w:r>
        <w:rPr>
          <w:rFonts w:ascii="宋体" w:hAnsi="宋体"/>
          <w:color w:val="000000" w:themeColor="text1"/>
          <w:sz w:val="24"/>
        </w:rPr>
        <w:t xml:space="preserve">4            </w:t>
      </w:r>
      <w:r>
        <w:rPr>
          <w:rFonts w:hint="eastAsia" w:ascii="宋体" w:hAnsi="宋体"/>
          <w:color w:val="000000" w:themeColor="text1"/>
          <w:sz w:val="24"/>
        </w:rPr>
        <w:t>投标文件参考格式</w:t>
      </w:r>
    </w:p>
    <w:p>
      <w:pPr>
        <w:spacing w:line="500" w:lineRule="exact"/>
        <w:ind w:left="600" w:hanging="600"/>
        <w:rPr>
          <w:rFonts w:ascii="宋体" w:hAnsi="宋体"/>
          <w:color w:val="000000" w:themeColor="text1"/>
          <w:sz w:val="24"/>
        </w:rPr>
      </w:pPr>
      <w:r>
        <w:rPr>
          <w:rFonts w:ascii="宋体" w:hAnsi="宋体"/>
          <w:color w:val="000000" w:themeColor="text1"/>
          <w:sz w:val="24"/>
        </w:rPr>
        <w:t>4.2  投标人应认真阅读招标文件中所有的事项、格式、条款和规范等要求。如果投标人没有按照招标文件要求提交全部资料或者投标文件没有对招标文件在各方面都做出实质性响应是投标人的风险。没有实质上响应招标文件要求的投标将被拒绝。</w:t>
      </w:r>
    </w:p>
    <w:p>
      <w:pPr>
        <w:spacing w:line="500" w:lineRule="exact"/>
        <w:ind w:left="600" w:hanging="600"/>
        <w:rPr>
          <w:rFonts w:ascii="宋体" w:hAnsi="宋体"/>
          <w:b/>
          <w:color w:val="000000" w:themeColor="text1"/>
          <w:sz w:val="24"/>
        </w:rPr>
      </w:pPr>
      <w:r>
        <w:rPr>
          <w:rFonts w:ascii="宋体" w:hAnsi="宋体"/>
          <w:b/>
          <w:color w:val="000000" w:themeColor="text1"/>
          <w:sz w:val="24"/>
        </w:rPr>
        <w:t xml:space="preserve">5、 </w:t>
      </w:r>
      <w:r>
        <w:rPr>
          <w:rFonts w:hint="eastAsia" w:ascii="宋体" w:hAnsi="宋体"/>
          <w:b/>
          <w:color w:val="000000" w:themeColor="text1"/>
          <w:sz w:val="24"/>
        </w:rPr>
        <w:t>招标文件的澄清</w:t>
      </w:r>
    </w:p>
    <w:p>
      <w:pPr>
        <w:spacing w:line="500" w:lineRule="exact"/>
        <w:ind w:left="600" w:hanging="600"/>
        <w:rPr>
          <w:rFonts w:ascii="宋体" w:hAnsi="宋体"/>
          <w:color w:val="000000" w:themeColor="text1"/>
          <w:sz w:val="24"/>
        </w:rPr>
      </w:pPr>
      <w:r>
        <w:rPr>
          <w:rFonts w:ascii="宋体" w:hAnsi="宋体"/>
          <w:color w:val="000000" w:themeColor="text1"/>
          <w:sz w:val="24"/>
        </w:rPr>
        <w:t>5.1  任何要求对招标文件进行澄清的投标人，均应在投标截止期15天以前按</w:t>
      </w:r>
      <w:r>
        <w:rPr>
          <w:rFonts w:hint="eastAsia" w:ascii="宋体" w:hAnsi="宋体"/>
          <w:color w:val="000000" w:themeColor="text1"/>
          <w:sz w:val="24"/>
        </w:rPr>
        <w:t>招标公告</w:t>
      </w:r>
      <w:r>
        <w:rPr>
          <w:rFonts w:ascii="宋体" w:hAnsi="宋体"/>
          <w:color w:val="000000" w:themeColor="text1"/>
          <w:sz w:val="24"/>
        </w:rPr>
        <w:t>中的通讯地址以书面形式如电报、传真等通知买方，买方对投标截止期15天以前收到的任何澄清要求将以书面形式予以答复，同时将书面答复发送给每个购买招标文件的投标人，答复中包括所问问题，但不包括问题的来源。</w:t>
      </w:r>
    </w:p>
    <w:p>
      <w:pPr>
        <w:spacing w:line="500" w:lineRule="exact"/>
        <w:ind w:left="600" w:hanging="600"/>
        <w:rPr>
          <w:rFonts w:ascii="宋体" w:hAnsi="宋体"/>
          <w:b/>
          <w:color w:val="000000" w:themeColor="text1"/>
          <w:sz w:val="24"/>
        </w:rPr>
      </w:pPr>
      <w:r>
        <w:rPr>
          <w:rFonts w:ascii="宋体" w:hAnsi="宋体"/>
          <w:b/>
          <w:color w:val="000000" w:themeColor="text1"/>
          <w:sz w:val="24"/>
        </w:rPr>
        <w:t>6、招标文件的修改</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6.1 </w:t>
      </w:r>
      <w:r>
        <w:rPr>
          <w:rFonts w:hint="eastAsia" w:ascii="宋体" w:hAnsi="宋体"/>
          <w:color w:val="000000" w:themeColor="text1"/>
          <w:sz w:val="24"/>
        </w:rPr>
        <w:t>在投标截止期前的任何时候，无论出于何种原因，买方可主动地或在解答投标人提出的澄清问题时对招标文件进行修改。</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6.2 </w:t>
      </w:r>
      <w:r>
        <w:rPr>
          <w:rFonts w:hint="eastAsia" w:ascii="宋体" w:hAnsi="宋体"/>
          <w:color w:val="000000" w:themeColor="text1"/>
          <w:sz w:val="24"/>
        </w:rPr>
        <w:t>招标文件的修改将以书面形式通知所有购买招标文件的投标人，并对其具有约束力。投标人应立即以电报、传真形式确认已收到修改文件。</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6.3 </w:t>
      </w:r>
      <w:r>
        <w:rPr>
          <w:rFonts w:hint="eastAsia" w:ascii="宋体" w:hAnsi="宋体"/>
          <w:color w:val="000000" w:themeColor="text1"/>
          <w:sz w:val="24"/>
        </w:rPr>
        <w:t>为使投标人编写投标文件时有充分时间对招标文件的修改部分进行研究，买方可以自行决定，酌情延长投标截止日期。</w:t>
      </w:r>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50" w:name="_Toc42206691"/>
      <w:bookmarkStart w:id="51" w:name="_Toc17822"/>
      <w:bookmarkStart w:id="52" w:name="_Toc414384917"/>
      <w:r>
        <w:rPr>
          <w:rFonts w:hint="eastAsia" w:ascii="宋体" w:hAnsi="宋体" w:eastAsia="宋体"/>
          <w:bCs w:val="0"/>
          <w:color w:val="000000" w:themeColor="text1"/>
          <w:sz w:val="28"/>
          <w:szCs w:val="28"/>
        </w:rPr>
        <w:t>三、投标文件的编制</w:t>
      </w:r>
      <w:bookmarkEnd w:id="50"/>
      <w:bookmarkEnd w:id="51"/>
      <w:bookmarkEnd w:id="52"/>
    </w:p>
    <w:p>
      <w:pPr>
        <w:spacing w:line="500" w:lineRule="exact"/>
        <w:ind w:left="600" w:hanging="600"/>
        <w:rPr>
          <w:rFonts w:ascii="宋体" w:hAnsi="宋体"/>
          <w:b/>
          <w:color w:val="000000" w:themeColor="text1"/>
          <w:sz w:val="24"/>
        </w:rPr>
      </w:pPr>
      <w:r>
        <w:rPr>
          <w:rFonts w:ascii="宋体" w:hAnsi="宋体"/>
          <w:b/>
          <w:color w:val="000000" w:themeColor="text1"/>
          <w:sz w:val="24"/>
        </w:rPr>
        <w:t>7、投标文件的语言和计量单位</w:t>
      </w:r>
    </w:p>
    <w:p>
      <w:pPr>
        <w:spacing w:line="500" w:lineRule="exact"/>
        <w:ind w:left="480" w:hanging="480"/>
        <w:rPr>
          <w:rFonts w:ascii="宋体" w:hAnsi="宋体"/>
          <w:color w:val="000000" w:themeColor="text1"/>
          <w:sz w:val="24"/>
        </w:rPr>
      </w:pPr>
      <w:r>
        <w:rPr>
          <w:rFonts w:ascii="宋体" w:hAnsi="宋体"/>
          <w:color w:val="000000" w:themeColor="text1"/>
          <w:sz w:val="24"/>
        </w:rPr>
        <w:t>7.1</w:t>
      </w:r>
      <w:r>
        <w:rPr>
          <w:rFonts w:hint="eastAsia" w:ascii="宋体" w:hAnsi="宋体"/>
          <w:color w:val="000000" w:themeColor="text1"/>
          <w:sz w:val="24"/>
        </w:rPr>
        <w:t>投标人提交的投标文件以及本次招标中所有其他与采购人有关的来往函电均应使用简体中文。投标人确需提交用其他语言文字形成的资料或认证文件的，必须翻译成简体中文，在有差异和矛盾时以简体中文为准。</w:t>
      </w:r>
    </w:p>
    <w:p>
      <w:pPr>
        <w:spacing w:line="500" w:lineRule="exact"/>
        <w:ind w:left="480" w:hanging="480"/>
        <w:rPr>
          <w:rFonts w:ascii="宋体" w:hAnsi="宋体"/>
          <w:color w:val="000000" w:themeColor="text1"/>
          <w:sz w:val="24"/>
        </w:rPr>
      </w:pPr>
      <w:r>
        <w:rPr>
          <w:rFonts w:ascii="宋体" w:hAnsi="宋体"/>
          <w:color w:val="000000" w:themeColor="text1"/>
          <w:sz w:val="24"/>
        </w:rPr>
        <w:t>7.2</w:t>
      </w:r>
      <w:r>
        <w:rPr>
          <w:rFonts w:hint="eastAsia" w:ascii="宋体" w:hAnsi="宋体"/>
          <w:color w:val="000000" w:themeColor="text1"/>
          <w:sz w:val="24"/>
        </w:rPr>
        <w:t>投标文件的计量单位采用中华人民共和国法定计量单位，招标文件的技术要求中另有规定的除外。</w:t>
      </w:r>
    </w:p>
    <w:p>
      <w:pPr>
        <w:spacing w:line="500" w:lineRule="exact"/>
        <w:ind w:left="600" w:hanging="600"/>
        <w:rPr>
          <w:rFonts w:ascii="宋体" w:hAnsi="宋体"/>
          <w:b/>
          <w:color w:val="000000" w:themeColor="text1"/>
          <w:sz w:val="24"/>
        </w:rPr>
      </w:pPr>
      <w:r>
        <w:rPr>
          <w:rFonts w:ascii="宋体" w:hAnsi="宋体"/>
          <w:b/>
          <w:color w:val="000000" w:themeColor="text1"/>
          <w:sz w:val="24"/>
        </w:rPr>
        <w:t>8、投标文件的编写</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8.1投标文件分为商务卷、技术卷和资质卷。 </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8.2 </w:t>
      </w:r>
      <w:r>
        <w:rPr>
          <w:rFonts w:hint="eastAsia" w:ascii="宋体" w:hAnsi="宋体"/>
          <w:color w:val="000000" w:themeColor="text1"/>
          <w:sz w:val="24"/>
        </w:rPr>
        <w:t>投标文件具体内容如下（具体格式见投标文件格式部分），其中加注</w:t>
      </w:r>
      <w:r>
        <w:rPr>
          <w:rFonts w:ascii="宋体" w:hAnsi="宋体"/>
          <w:color w:val="000000" w:themeColor="text1"/>
          <w:sz w:val="24"/>
        </w:rPr>
        <w:t>*的内容，为必须提交（除非另有特殊说明），如有缺失或无效，将被视为非实质性响应投标而被拒绝或按照无效投标处理；未加注*的内容如有缺失或无效，可能影响投标得分。</w:t>
      </w:r>
    </w:p>
    <w:p>
      <w:pPr>
        <w:spacing w:line="500" w:lineRule="exact"/>
        <w:ind w:left="480" w:hanging="480"/>
        <w:rPr>
          <w:rFonts w:ascii="宋体" w:hAnsi="宋体"/>
          <w:color w:val="000000" w:themeColor="text1"/>
          <w:sz w:val="24"/>
        </w:rPr>
      </w:pPr>
      <w:r>
        <w:rPr>
          <w:rFonts w:ascii="宋体" w:hAnsi="宋体"/>
          <w:color w:val="000000" w:themeColor="text1"/>
          <w:sz w:val="24"/>
        </w:rPr>
        <w:t>8.2.1商务卷</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*——投标报价表。</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*——分项报价表。需对各分项内容提出报价。</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*——投标函。</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*——授权委托书（如果所有投标文件均由单位法人直接签署，可不提供本文件）。</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*——如为联合体投标的应提供联合协议，联合协议须载明联合体各方承担的工作和义务。</w:t>
      </w:r>
    </w:p>
    <w:p>
      <w:pPr>
        <w:spacing w:line="500" w:lineRule="exact"/>
        <w:ind w:left="480" w:hanging="480"/>
        <w:rPr>
          <w:rFonts w:ascii="宋体" w:hAnsi="宋体"/>
          <w:color w:val="000000" w:themeColor="text1"/>
          <w:sz w:val="24"/>
        </w:rPr>
      </w:pPr>
      <w:r>
        <w:rPr>
          <w:rFonts w:ascii="宋体" w:hAnsi="宋体"/>
          <w:color w:val="000000" w:themeColor="text1"/>
          <w:sz w:val="24"/>
        </w:rPr>
        <w:t>8.2.2技术卷。</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根据招标项目指南，进行技术方案设计。内容包括：</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——概述。概述项目概况、目标、任务以及依据等。</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*——需求分析。针对项目需要完成的任务，结合已有相关成果，明确项目的具体工作内容。</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*——技术路线设计</w:t>
      </w:r>
      <w:r>
        <w:rPr>
          <w:rFonts w:hint="eastAsia" w:ascii="宋体" w:hAnsi="宋体"/>
          <w:color w:val="000000" w:themeColor="text1"/>
          <w:sz w:val="24"/>
        </w:rPr>
        <w:t>（技术方案）。在需求分析的基础上，阐述总体思路，明确具体的技术方案。</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——项目组织实施。采用文字并结合图表阐述说明各部分的施工方法，主要软硬件设备、劳动力投入、项目管理、工程质量管理、工程进度组织措施等内容。</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——技术服务方案。包括技术支持和技术培训等。</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——完成招投标项目承诺、建议等。</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——提供给建设单位的成果文件等。</w:t>
      </w:r>
    </w:p>
    <w:p>
      <w:pPr>
        <w:spacing w:line="500" w:lineRule="exact"/>
        <w:ind w:left="480" w:hanging="480"/>
        <w:rPr>
          <w:rFonts w:ascii="宋体" w:hAnsi="宋体"/>
          <w:color w:val="000000" w:themeColor="text1"/>
          <w:sz w:val="24"/>
        </w:rPr>
      </w:pPr>
      <w:r>
        <w:rPr>
          <w:rFonts w:ascii="宋体" w:hAnsi="宋体"/>
          <w:color w:val="000000" w:themeColor="text1"/>
          <w:sz w:val="24"/>
        </w:rPr>
        <w:t>8.2.3资质卷。</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*——投标单位基本情况。</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——投标单位以往有关业绩。</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——投标单位与本项目有关组织结构。</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——投标单位与本项目有关主要装备。</w:t>
      </w:r>
    </w:p>
    <w:p>
      <w:pPr>
        <w:spacing w:line="500" w:lineRule="exact"/>
        <w:ind w:left="1020" w:leftChars="200" w:hanging="600"/>
        <w:rPr>
          <w:rFonts w:ascii="宋体" w:hAnsi="宋体"/>
          <w:color w:val="000000" w:themeColor="text1"/>
          <w:sz w:val="24"/>
        </w:rPr>
      </w:pPr>
      <w:r>
        <w:rPr>
          <w:rFonts w:ascii="宋体" w:hAnsi="宋体"/>
          <w:color w:val="000000" w:themeColor="text1"/>
          <w:sz w:val="24"/>
        </w:rPr>
        <w:t>*——项目组主要成员。</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——拟派出的项目负责人与主要技术人员的工作经历及业绩（需附证明文件）。</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——投标单位保障措施。</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——投标单位完成本项目的工作基础和有利条件。</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——投标单位审查意见。</w:t>
      </w:r>
    </w:p>
    <w:p>
      <w:pPr>
        <w:spacing w:line="500" w:lineRule="exact"/>
        <w:ind w:left="1020" w:leftChars="200" w:hanging="600"/>
        <w:rPr>
          <w:rFonts w:ascii="宋体" w:hAnsi="宋体"/>
          <w:b/>
          <w:color w:val="000000" w:themeColor="text1"/>
          <w:sz w:val="24"/>
        </w:rPr>
      </w:pPr>
      <w:r>
        <w:rPr>
          <w:rFonts w:ascii="宋体" w:hAnsi="宋体"/>
          <w:b/>
          <w:color w:val="000000" w:themeColor="text1"/>
          <w:sz w:val="24"/>
        </w:rPr>
        <w:t>*——</w:t>
      </w:r>
      <w:r>
        <w:rPr>
          <w:rFonts w:hint="eastAsia" w:ascii="宋体" w:hAnsi="宋体"/>
          <w:b/>
          <w:color w:val="000000" w:themeColor="text1"/>
          <w:sz w:val="24"/>
        </w:rPr>
        <w:t>投标人资格证明文件（如是联合体投标，联合体各方均须提供下述证明）：</w:t>
      </w:r>
    </w:p>
    <w:p>
      <w:pPr>
        <w:spacing w:line="500" w:lineRule="exact"/>
        <w:ind w:left="1020" w:leftChars="200" w:hanging="600"/>
        <w:rPr>
          <w:rFonts w:ascii="宋体" w:hAnsi="宋体"/>
          <w:sz w:val="24"/>
        </w:rPr>
      </w:pPr>
      <w:r>
        <w:rPr>
          <w:rFonts w:ascii="宋体" w:hAnsi="宋体"/>
          <w:sz w:val="24"/>
        </w:rPr>
        <w:t>*（1）提供有效的营业执照副本、组织机构代码证书副本、税务登记证副本；或多证合一后的营业执照副本；或事业单位法人证书；或其他能够证明可独立承担民事责任的证明材料（复印件或扫描件，并加盖单位公章）</w:t>
      </w:r>
    </w:p>
    <w:p>
      <w:pPr>
        <w:spacing w:line="500" w:lineRule="exact"/>
        <w:ind w:left="1020" w:leftChars="200" w:hanging="600"/>
        <w:rPr>
          <w:rFonts w:ascii="宋体" w:hAnsi="宋体"/>
          <w:sz w:val="24"/>
        </w:rPr>
      </w:pPr>
      <w:r>
        <w:rPr>
          <w:rFonts w:ascii="宋体" w:hAnsi="宋体"/>
          <w:sz w:val="24"/>
        </w:rPr>
        <w:t>*（2）投标人在投标文件中，必须提供由会计师事务所出具的上一年度（2019年，2019年未审计的可提供2018年）审计报告复印件并加盖投标人单位公章；如投标人无法提供审计报告，则需提供银行在开标日前三个月内开具资信证明的复印件加盖公章，采购代理机构保留审核资信证明原件的权利。银行资信证明应能说明该投标人与银行之间业务往来正常，企业信誉良好等。</w:t>
      </w:r>
    </w:p>
    <w:p>
      <w:pPr>
        <w:spacing w:line="500" w:lineRule="exact"/>
        <w:ind w:left="1020" w:leftChars="200" w:hanging="600"/>
        <w:rPr>
          <w:rFonts w:ascii="宋体" w:hAnsi="宋体"/>
          <w:sz w:val="24"/>
        </w:rPr>
      </w:pPr>
      <w:r>
        <w:rPr>
          <w:rFonts w:ascii="宋体" w:hAnsi="宋体"/>
          <w:sz w:val="24"/>
        </w:rPr>
        <w:t xml:space="preserve">*（3）投标截止日前6个月内任意一个月投标人缴税的凭据复印件并加盖投标人公章（国家、地方工商管理部门或者其他相关管理部门对企事业单位纳税有特别规定的（如免缴），由投标单位出具相关书面说明）。 </w:t>
      </w:r>
    </w:p>
    <w:p>
      <w:pPr>
        <w:spacing w:line="500" w:lineRule="exact"/>
        <w:ind w:left="1020" w:leftChars="200" w:hanging="600"/>
        <w:rPr>
          <w:rFonts w:ascii="宋体" w:hAnsi="宋体"/>
          <w:sz w:val="24"/>
        </w:rPr>
      </w:pPr>
      <w:r>
        <w:rPr>
          <w:rFonts w:ascii="宋体" w:hAnsi="宋体"/>
          <w:sz w:val="24"/>
        </w:rPr>
        <w:t xml:space="preserve">*（4）投标截止日前6个月内任意一个月投标人缴纳社会保险的凭据复印件并加盖投标人公章（国家、地方工商管理部门或者其他相关管理部门对社保资金缴纳有特别政策的（如免缴），由投标单位出具相关书面说明）。 </w:t>
      </w:r>
    </w:p>
    <w:p>
      <w:pPr>
        <w:spacing w:line="500" w:lineRule="exact"/>
        <w:ind w:left="1020" w:leftChars="200" w:hanging="600"/>
        <w:rPr>
          <w:rFonts w:ascii="宋体" w:hAnsi="宋体"/>
          <w:sz w:val="24"/>
        </w:rPr>
      </w:pPr>
      <w:r>
        <w:rPr>
          <w:rFonts w:ascii="宋体" w:hAnsi="宋体"/>
          <w:sz w:val="24"/>
        </w:rPr>
        <w:t>*（5）参加政府采购活动前三年内，在经营活动中没有重大违法记录声明。（格式自拟）</w:t>
      </w:r>
    </w:p>
    <w:p>
      <w:pPr>
        <w:spacing w:line="500" w:lineRule="exact"/>
        <w:ind w:left="600" w:hanging="6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参加本项目的投标人或参加联合体投标承担地下水水质检测任务的投标人应具有国家级或省级以上检验检测机构实验室资质认定资质（CMA），CMA证书包括42项指标，为《地下水质量标准》（GB/T14848-2017）中37项常规指标（总α放射性、总β放射性除外）及其他5项地下水化学指标（钾、钙、镁、碳酸根、重碳酸根）。</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——投标人认为有利于中标的其他证明材料（加盖单位公章）。</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——需要说明的其他问题。</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9、 </w:t>
      </w:r>
      <w:r>
        <w:rPr>
          <w:rFonts w:hint="eastAsia" w:ascii="宋体" w:hAnsi="宋体"/>
          <w:b/>
          <w:color w:val="000000" w:themeColor="text1"/>
          <w:sz w:val="24"/>
        </w:rPr>
        <w:t>投标报价</w:t>
      </w:r>
    </w:p>
    <w:p>
      <w:pPr>
        <w:spacing w:line="500" w:lineRule="exact"/>
        <w:ind w:left="480" w:hanging="480"/>
        <w:rPr>
          <w:rFonts w:ascii="宋体" w:hAnsi="宋体"/>
          <w:color w:val="000000" w:themeColor="text1"/>
          <w:sz w:val="24"/>
        </w:rPr>
      </w:pPr>
      <w:r>
        <w:rPr>
          <w:rFonts w:ascii="宋体" w:hAnsi="宋体"/>
          <w:color w:val="000000" w:themeColor="text1"/>
          <w:sz w:val="24"/>
        </w:rPr>
        <w:t>9.1</w:t>
      </w:r>
      <w:r>
        <w:rPr>
          <w:rFonts w:hint="eastAsia" w:ascii="宋体" w:hAnsi="宋体"/>
          <w:color w:val="000000" w:themeColor="text1"/>
          <w:sz w:val="24"/>
        </w:rPr>
        <w:t>本项目采用综合报价，因此投标人的报价应包括所有相关税费。</w:t>
      </w:r>
    </w:p>
    <w:p>
      <w:pPr>
        <w:spacing w:line="500" w:lineRule="exact"/>
        <w:ind w:left="480" w:hanging="480"/>
        <w:rPr>
          <w:rFonts w:ascii="宋体" w:hAnsi="宋体"/>
          <w:color w:val="000000" w:themeColor="text1"/>
          <w:sz w:val="24"/>
        </w:rPr>
      </w:pPr>
      <w:r>
        <w:rPr>
          <w:rFonts w:ascii="宋体" w:hAnsi="宋体"/>
          <w:color w:val="000000" w:themeColor="text1"/>
          <w:sz w:val="24"/>
        </w:rPr>
        <w:t>9.2</w:t>
      </w:r>
      <w:r>
        <w:rPr>
          <w:rFonts w:hint="eastAsia" w:ascii="宋体" w:hAnsi="宋体"/>
          <w:color w:val="000000" w:themeColor="text1"/>
          <w:sz w:val="24"/>
        </w:rPr>
        <w:t>投标人应在投标文件中商务卷上，按照投标报价表所列项目分项报价并汇总投标总价，明确标明本次投标唯一报价，任何有选择的报价将不予接受。</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9.3 </w:t>
      </w:r>
      <w:r>
        <w:rPr>
          <w:rFonts w:hint="eastAsia" w:ascii="宋体" w:hAnsi="宋体"/>
          <w:color w:val="000000" w:themeColor="text1"/>
          <w:sz w:val="24"/>
        </w:rPr>
        <w:t>投标人按照上述第</w:t>
      </w:r>
      <w:r>
        <w:rPr>
          <w:rFonts w:ascii="宋体" w:hAnsi="宋体"/>
          <w:color w:val="000000" w:themeColor="text1"/>
          <w:sz w:val="24"/>
        </w:rPr>
        <w:t>9.2</w:t>
      </w:r>
      <w:r>
        <w:rPr>
          <w:rFonts w:hint="eastAsia" w:ascii="宋体" w:hAnsi="宋体"/>
          <w:color w:val="000000" w:themeColor="text1"/>
          <w:sz w:val="24"/>
        </w:rPr>
        <w:t>款要求分类报价，其目的是便于评标，但在任何情况下并不限制采购人以任何条款签订合同的权利。</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9.4 </w:t>
      </w:r>
      <w:r>
        <w:rPr>
          <w:rFonts w:hint="eastAsia" w:ascii="宋体" w:hAnsi="宋体"/>
          <w:color w:val="000000" w:themeColor="text1"/>
          <w:sz w:val="24"/>
        </w:rPr>
        <w:t>投标报价表中标明的价格在合同执行过程中是固定不变的，不得以任何理由予以变更。以可调整价格提交的投标将作为非响应性投标予以拒绝。</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9.5 </w:t>
      </w:r>
      <w:r>
        <w:rPr>
          <w:rFonts w:hint="eastAsia" w:ascii="宋体" w:hAnsi="宋体"/>
          <w:color w:val="000000" w:themeColor="text1"/>
          <w:sz w:val="24"/>
        </w:rPr>
        <w:t>投标报价均应以人民币为结算单位，单位为万元。</w:t>
      </w:r>
    </w:p>
    <w:p>
      <w:pPr>
        <w:spacing w:line="500" w:lineRule="exact"/>
        <w:ind w:left="480" w:hanging="480"/>
        <w:rPr>
          <w:rFonts w:ascii="宋体" w:hAnsi="宋体"/>
          <w:color w:val="000000" w:themeColor="text1"/>
          <w:sz w:val="24"/>
        </w:rPr>
      </w:pPr>
      <w:r>
        <w:rPr>
          <w:rFonts w:ascii="宋体" w:hAnsi="宋体"/>
          <w:color w:val="000000" w:themeColor="text1"/>
          <w:sz w:val="24"/>
        </w:rPr>
        <w:t xml:space="preserve">9.6 </w:t>
      </w:r>
      <w:r>
        <w:rPr>
          <w:rFonts w:hint="eastAsia" w:ascii="宋体" w:hAnsi="宋体"/>
          <w:color w:val="000000" w:themeColor="text1"/>
          <w:sz w:val="24"/>
        </w:rPr>
        <w:t>最低报价不能作为中标的保证。投标报价仅为评标依据。</w:t>
      </w:r>
    </w:p>
    <w:p>
      <w:pPr>
        <w:spacing w:line="500" w:lineRule="exact"/>
        <w:ind w:left="720" w:hanging="720"/>
        <w:rPr>
          <w:rFonts w:ascii="宋体" w:hAnsi="宋体"/>
          <w:b/>
          <w:color w:val="000000" w:themeColor="text1"/>
          <w:sz w:val="24"/>
        </w:rPr>
      </w:pPr>
      <w:r>
        <w:rPr>
          <w:rFonts w:ascii="宋体" w:hAnsi="宋体"/>
          <w:b/>
          <w:color w:val="000000" w:themeColor="text1"/>
          <w:sz w:val="24"/>
        </w:rPr>
        <w:t>10、证明投标人资格的文件</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10.1 </w:t>
      </w:r>
      <w:r>
        <w:rPr>
          <w:rFonts w:hint="eastAsia" w:ascii="宋体" w:hAnsi="宋体"/>
          <w:color w:val="000000" w:themeColor="text1"/>
          <w:sz w:val="24"/>
        </w:rPr>
        <w:t>按照第</w:t>
      </w:r>
      <w:r>
        <w:rPr>
          <w:rFonts w:ascii="宋体" w:hAnsi="宋体"/>
          <w:color w:val="000000" w:themeColor="text1"/>
          <w:sz w:val="24"/>
        </w:rPr>
        <w:t>8条规定，投标人应提交证明其有资格参加投标和中标后有能力履行合同的文件，并作为其投标文件的一部分。</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10.2 </w:t>
      </w:r>
      <w:r>
        <w:rPr>
          <w:rFonts w:hint="eastAsia" w:ascii="宋体" w:hAnsi="宋体"/>
          <w:color w:val="000000" w:themeColor="text1"/>
          <w:sz w:val="24"/>
        </w:rPr>
        <w:t>投标人提交的资格文件应符合招标文件要求。投标人在投标时应符合规定的合格投标人条件，必须具备履行合同所需的财务、技术和服务能力。</w:t>
      </w:r>
    </w:p>
    <w:p>
      <w:pPr>
        <w:spacing w:line="500" w:lineRule="exact"/>
        <w:ind w:left="720" w:hanging="720"/>
        <w:rPr>
          <w:rFonts w:ascii="宋体" w:hAnsi="宋体"/>
          <w:b/>
          <w:color w:val="000000" w:themeColor="text1"/>
          <w:sz w:val="24"/>
        </w:rPr>
      </w:pPr>
      <w:r>
        <w:rPr>
          <w:rFonts w:ascii="宋体" w:hAnsi="宋体"/>
          <w:b/>
          <w:color w:val="000000" w:themeColor="text1"/>
          <w:sz w:val="24"/>
        </w:rPr>
        <w:t>11、技术方案文件</w:t>
      </w:r>
    </w:p>
    <w:p>
      <w:pPr>
        <w:spacing w:line="500" w:lineRule="exact"/>
        <w:ind w:left="720" w:hanging="720"/>
        <w:rPr>
          <w:rFonts w:ascii="宋体" w:hAnsi="宋体"/>
          <w:color w:val="000000" w:themeColor="text1"/>
          <w:sz w:val="24"/>
        </w:rPr>
      </w:pPr>
      <w:r>
        <w:rPr>
          <w:rFonts w:ascii="宋体" w:hAnsi="宋体"/>
          <w:color w:val="000000" w:themeColor="text1"/>
          <w:sz w:val="24"/>
        </w:rPr>
        <w:t>11.1  按照第8条规定，投标人应提交完整的技术方案文件。</w:t>
      </w:r>
    </w:p>
    <w:p>
      <w:pPr>
        <w:spacing w:line="500" w:lineRule="exact"/>
        <w:ind w:left="720" w:hanging="720"/>
        <w:rPr>
          <w:rFonts w:ascii="宋体" w:hAnsi="宋体"/>
          <w:color w:val="000000" w:themeColor="text1"/>
          <w:sz w:val="24"/>
        </w:rPr>
      </w:pPr>
      <w:r>
        <w:rPr>
          <w:rFonts w:ascii="宋体" w:hAnsi="宋体"/>
          <w:color w:val="000000" w:themeColor="text1"/>
          <w:sz w:val="24"/>
        </w:rPr>
        <w:t>11.2  技术方案文件可以是由文字资料、图纸和数据所组成的。</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12、 </w:t>
      </w:r>
      <w:r>
        <w:rPr>
          <w:rFonts w:hint="eastAsia" w:ascii="宋体" w:hAnsi="宋体"/>
          <w:b/>
          <w:color w:val="000000" w:themeColor="text1"/>
          <w:sz w:val="24"/>
        </w:rPr>
        <w:t>投标保证金</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12.1 </w:t>
      </w:r>
      <w:r>
        <w:rPr>
          <w:rFonts w:hint="eastAsia" w:ascii="宋体" w:hAnsi="宋体"/>
          <w:color w:val="000000" w:themeColor="text1"/>
          <w:sz w:val="24"/>
        </w:rPr>
        <w:t>投标人应在投标开标前，以人民币提交一笔不少于“投标人须知前附表</w: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8项规定金额的投标保证金，并作为其投标的一部分。</w:t>
      </w:r>
    </w:p>
    <w:p>
      <w:pPr>
        <w:spacing w:line="500" w:lineRule="exact"/>
        <w:rPr>
          <w:rFonts w:ascii="宋体" w:hAnsi="宋体"/>
          <w:color w:val="000000" w:themeColor="text1"/>
          <w:sz w:val="24"/>
        </w:rPr>
      </w:pPr>
      <w:r>
        <w:rPr>
          <w:rFonts w:ascii="宋体" w:hAnsi="宋体"/>
          <w:color w:val="000000" w:themeColor="text1"/>
          <w:sz w:val="24"/>
        </w:rPr>
        <w:t xml:space="preserve">12.2 </w:t>
      </w:r>
      <w:r>
        <w:rPr>
          <w:rFonts w:hint="eastAsia" w:ascii="宋体" w:hAnsi="宋体"/>
          <w:color w:val="000000" w:themeColor="text1"/>
          <w:sz w:val="24"/>
        </w:rPr>
        <w:t>投标保证金应采用下列任何一种非现金形式：</w:t>
      </w:r>
    </w:p>
    <w:p>
      <w:pPr>
        <w:spacing w:line="500" w:lineRule="exact"/>
        <w:ind w:left="72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1</w:t>
      </w:r>
      <w:r>
        <w:rPr>
          <w:rFonts w:hint="eastAsia" w:ascii="宋体" w:hAnsi="宋体"/>
          <w:color w:val="000000" w:themeColor="text1"/>
          <w:sz w:val="24"/>
        </w:rPr>
        <w:t>）电汇；</w:t>
      </w:r>
    </w:p>
    <w:p>
      <w:pPr>
        <w:spacing w:line="500" w:lineRule="exact"/>
        <w:ind w:left="720"/>
        <w:rPr>
          <w:rFonts w:ascii="宋体" w:hAnsi="宋体"/>
          <w:color w:val="000000" w:themeColor="text1"/>
          <w:sz w:val="24"/>
        </w:rPr>
      </w:pPr>
      <w:r>
        <w:rPr>
          <w:rFonts w:hint="eastAsia" w:ascii="宋体" w:hAnsi="宋体"/>
          <w:color w:val="000000" w:themeColor="text1"/>
          <w:sz w:val="24"/>
        </w:rPr>
        <w:t>（2）转账；</w:t>
      </w:r>
    </w:p>
    <w:p>
      <w:pPr>
        <w:spacing w:line="500" w:lineRule="exact"/>
        <w:ind w:left="720"/>
        <w:rPr>
          <w:rFonts w:ascii="宋体" w:hAnsi="宋体"/>
          <w:color w:val="000000" w:themeColor="text1"/>
          <w:sz w:val="24"/>
        </w:rPr>
      </w:pPr>
      <w:r>
        <w:rPr>
          <w:rFonts w:hint="eastAsia" w:ascii="宋体" w:hAnsi="宋体"/>
          <w:color w:val="000000" w:themeColor="text1"/>
          <w:sz w:val="24"/>
        </w:rPr>
        <w:t>（3）银行保函；</w:t>
      </w:r>
    </w:p>
    <w:p>
      <w:pPr>
        <w:spacing w:line="500" w:lineRule="exact"/>
        <w:ind w:left="720"/>
        <w:rPr>
          <w:rFonts w:ascii="宋体" w:hAnsi="宋体"/>
          <w:color w:val="000000" w:themeColor="text1"/>
          <w:sz w:val="24"/>
        </w:rPr>
      </w:pPr>
      <w:r>
        <w:rPr>
          <w:rFonts w:hint="eastAsia" w:ascii="宋体" w:hAnsi="宋体"/>
          <w:color w:val="000000" w:themeColor="text1"/>
          <w:sz w:val="24"/>
        </w:rPr>
        <w:t>（4）政府采购专业担保机构出具的投标担保函。</w:t>
      </w:r>
    </w:p>
    <w:p>
      <w:pPr>
        <w:spacing w:line="500" w:lineRule="exact"/>
        <w:ind w:left="720" w:hanging="720"/>
        <w:rPr>
          <w:rFonts w:ascii="宋体" w:hAnsi="宋体"/>
          <w:color w:val="000000" w:themeColor="text1"/>
          <w:sz w:val="24"/>
        </w:rPr>
      </w:pPr>
      <w:r>
        <w:rPr>
          <w:rFonts w:ascii="宋体" w:hAnsi="宋体"/>
          <w:color w:val="000000" w:themeColor="text1"/>
          <w:sz w:val="24"/>
        </w:rPr>
        <w:t xml:space="preserve">12.3 </w:t>
      </w:r>
      <w:r>
        <w:rPr>
          <w:rFonts w:hint="eastAsia" w:ascii="宋体" w:hAnsi="宋体"/>
          <w:color w:val="000000" w:themeColor="text1"/>
          <w:sz w:val="24"/>
        </w:rPr>
        <w:t>在开标时，凡是没有随附投标保证金的投标，应视为非响应性投标予以拒绝。</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12.4 </w:t>
      </w:r>
      <w:r>
        <w:rPr>
          <w:rFonts w:hint="eastAsia" w:ascii="宋体" w:hAnsi="宋体"/>
          <w:color w:val="000000" w:themeColor="text1"/>
          <w:sz w:val="24"/>
        </w:rPr>
        <w:t>未中标人的投标保证金，将在中标通知书发出</w:t>
      </w:r>
      <w:r>
        <w:rPr>
          <w:rFonts w:ascii="宋体" w:hAnsi="宋体"/>
          <w:color w:val="000000" w:themeColor="text1"/>
          <w:sz w:val="24"/>
        </w:rPr>
        <w:t>5日内予以退还，不计利息。</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12.5 </w:t>
      </w:r>
      <w:r>
        <w:rPr>
          <w:rFonts w:hint="eastAsia" w:ascii="宋体" w:hAnsi="宋体"/>
          <w:color w:val="000000" w:themeColor="text1"/>
          <w:sz w:val="24"/>
        </w:rPr>
        <w:t>中标人的投标保证金，在中标人按规定签订合同后</w:t>
      </w:r>
      <w:r>
        <w:rPr>
          <w:rFonts w:ascii="宋体" w:hAnsi="宋体"/>
          <w:color w:val="000000" w:themeColor="text1"/>
          <w:sz w:val="24"/>
        </w:rPr>
        <w:t>5日内予以退还，不计利息。</w:t>
      </w:r>
    </w:p>
    <w:p>
      <w:pPr>
        <w:spacing w:line="500" w:lineRule="exact"/>
        <w:ind w:left="720" w:hanging="720"/>
        <w:rPr>
          <w:rFonts w:ascii="宋体" w:hAnsi="宋体"/>
          <w:color w:val="000000" w:themeColor="text1"/>
          <w:sz w:val="24"/>
        </w:rPr>
      </w:pPr>
      <w:r>
        <w:rPr>
          <w:rFonts w:ascii="宋体" w:hAnsi="宋体"/>
          <w:color w:val="000000" w:themeColor="text1"/>
          <w:sz w:val="24"/>
        </w:rPr>
        <w:t xml:space="preserve">12.6 </w:t>
      </w:r>
      <w:r>
        <w:rPr>
          <w:rFonts w:hint="eastAsia" w:ascii="宋体" w:hAnsi="宋体"/>
          <w:color w:val="000000" w:themeColor="text1"/>
          <w:sz w:val="24"/>
        </w:rPr>
        <w:t>下列任何情况发生时，投标保证金将被没收：</w:t>
      </w:r>
    </w:p>
    <w:p>
      <w:pPr>
        <w:spacing w:line="500" w:lineRule="exact"/>
        <w:ind w:left="72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1</w:t>
      </w:r>
      <w:r>
        <w:rPr>
          <w:rFonts w:hint="eastAsia" w:ascii="宋体" w:hAnsi="宋体"/>
          <w:color w:val="000000" w:themeColor="text1"/>
          <w:sz w:val="24"/>
        </w:rPr>
        <w:t>）投标人在投标函格式中规定的投标有效期内撤销其投标；</w:t>
      </w:r>
    </w:p>
    <w:p>
      <w:pPr>
        <w:spacing w:line="500" w:lineRule="exact"/>
        <w:ind w:left="72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）中标人在规定期限内未能按规定签订合同。</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13、 </w:t>
      </w:r>
      <w:r>
        <w:rPr>
          <w:rFonts w:hint="eastAsia" w:ascii="宋体" w:hAnsi="宋体"/>
          <w:b/>
          <w:color w:val="000000" w:themeColor="text1"/>
          <w:sz w:val="24"/>
        </w:rPr>
        <w:t>投标有效期</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13.1 </w:t>
      </w:r>
      <w:r>
        <w:rPr>
          <w:rFonts w:hint="eastAsia" w:ascii="宋体" w:hAnsi="宋体"/>
          <w:color w:val="000000" w:themeColor="text1"/>
          <w:sz w:val="24"/>
        </w:rPr>
        <w:t>投标文件在采购人规定的开标日后的</w:t>
      </w:r>
      <w:r>
        <w:rPr>
          <w:rFonts w:ascii="宋体" w:hAnsi="宋体"/>
          <w:color w:val="000000" w:themeColor="text1"/>
          <w:sz w:val="24"/>
        </w:rPr>
        <w:t>45</w:t>
      </w:r>
      <w:r>
        <w:rPr>
          <w:rFonts w:hint="eastAsia" w:ascii="宋体" w:hAnsi="宋体"/>
          <w:color w:val="000000" w:themeColor="text1"/>
          <w:sz w:val="24"/>
        </w:rPr>
        <w:t>天内保持有效，如果中标，中标人的投标文件有效期自动延长至本项目合同履行完毕之日。投标有效期不满足要求的投标将被视为非实质性响应招标而作为无效投标处理。</w:t>
      </w:r>
    </w:p>
    <w:p>
      <w:pPr>
        <w:spacing w:line="500" w:lineRule="exact"/>
        <w:ind w:left="600" w:hanging="600"/>
        <w:rPr>
          <w:rFonts w:ascii="宋体" w:hAnsi="宋体"/>
          <w:color w:val="000000" w:themeColor="text1"/>
          <w:sz w:val="24"/>
        </w:rPr>
      </w:pPr>
      <w:r>
        <w:rPr>
          <w:rFonts w:ascii="宋体" w:hAnsi="宋体"/>
          <w:color w:val="000000" w:themeColor="text1"/>
          <w:sz w:val="24"/>
        </w:rPr>
        <w:t>13.2</w:t>
      </w:r>
      <w:r>
        <w:rPr>
          <w:rFonts w:hint="eastAsia" w:ascii="宋体" w:hAnsi="宋体"/>
          <w:color w:val="000000" w:themeColor="text1"/>
          <w:sz w:val="24"/>
        </w:rPr>
        <w:t>特殊情况下，在原投标有效期截止之前，采购人可要求投标人同意延长投标有效期。这种要求与答复均应以书面形式提交。投标人可拒绝采购人的这种要求。接受延长投标有效期的投标人将不会被要求和允许修正其投标。</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14、 </w:t>
      </w:r>
      <w:r>
        <w:rPr>
          <w:rFonts w:hint="eastAsia" w:ascii="宋体" w:hAnsi="宋体"/>
          <w:b/>
          <w:color w:val="000000" w:themeColor="text1"/>
          <w:sz w:val="24"/>
        </w:rPr>
        <w:t>投标文件的式样和签署</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14.1 </w:t>
      </w:r>
      <w:r>
        <w:rPr>
          <w:rFonts w:hint="eastAsia" w:ascii="宋体" w:hAnsi="宋体"/>
          <w:color w:val="000000" w:themeColor="text1"/>
          <w:sz w:val="24"/>
        </w:rPr>
        <w:t>投标人应按照投标人须知第</w:t>
      </w:r>
      <w:r>
        <w:rPr>
          <w:rFonts w:ascii="宋体" w:hAnsi="宋体"/>
          <w:color w:val="000000" w:themeColor="text1"/>
          <w:sz w:val="24"/>
        </w:rPr>
        <w:t>8条的要求，准备一份投标文件正本，和“投标人须知前附表”第9项规定数量的副本和电子文档（光盘介质），每套投标文件需清楚地标明“正本”或“副本”。一旦正本和副本不符，以正本为准。</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14.2 </w:t>
      </w:r>
      <w:r>
        <w:rPr>
          <w:rFonts w:hint="eastAsia" w:ascii="宋体" w:hAnsi="宋体"/>
          <w:color w:val="000000" w:themeColor="text1"/>
          <w:sz w:val="24"/>
        </w:rPr>
        <w:t>投标文件的正本和所有的副本均需用打印字体打印或复印，由经正式授权并对投标人有约束力的代表签字，除没有修改过的印刷文献外，投标文件的每一页都应由投标人或其授权代表用其姓或者姓的首字母签字（注：此签字应与“投标函”、“授权委托书”中出现的签字代表的手书体一致）。</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14.3 </w:t>
      </w:r>
      <w:r>
        <w:rPr>
          <w:rFonts w:hint="eastAsia" w:ascii="宋体" w:hAnsi="宋体"/>
          <w:color w:val="000000" w:themeColor="text1"/>
          <w:sz w:val="24"/>
        </w:rPr>
        <w:t>除投标人对错处做必要修改外，投标文件不得行间插字、涂改和增删，如有修改错漏处，必须由投标人或其授权代表盖章或签字。</w:t>
      </w:r>
    </w:p>
    <w:p>
      <w:pPr>
        <w:spacing w:line="500" w:lineRule="exact"/>
        <w:ind w:left="600" w:hanging="600"/>
        <w:rPr>
          <w:rFonts w:ascii="宋体" w:hAnsi="宋体"/>
          <w:color w:val="000000" w:themeColor="text1"/>
          <w:sz w:val="24"/>
        </w:rPr>
      </w:pPr>
      <w:r>
        <w:rPr>
          <w:rFonts w:ascii="宋体" w:hAnsi="宋体"/>
          <w:color w:val="000000" w:themeColor="text1"/>
          <w:sz w:val="24"/>
        </w:rPr>
        <w:t>14.4如投标人对招标文件个别内容不能接受，应在投标文件中另做声明，否则将视为投标人接受招标文件的全部内容。</w:t>
      </w:r>
    </w:p>
    <w:p>
      <w:pPr>
        <w:spacing w:line="500" w:lineRule="exact"/>
        <w:ind w:left="600" w:hanging="600"/>
        <w:rPr>
          <w:rFonts w:ascii="宋体" w:hAnsi="宋体"/>
          <w:color w:val="000000" w:themeColor="text1"/>
          <w:sz w:val="24"/>
        </w:rPr>
      </w:pPr>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53" w:name="_Toc414384918"/>
      <w:bookmarkStart w:id="54" w:name="_Toc2609"/>
      <w:bookmarkStart w:id="55" w:name="_Toc42206692"/>
      <w:r>
        <w:rPr>
          <w:rFonts w:hint="eastAsia" w:ascii="宋体" w:hAnsi="宋体" w:eastAsia="宋体"/>
          <w:bCs w:val="0"/>
          <w:color w:val="000000" w:themeColor="text1"/>
          <w:sz w:val="28"/>
          <w:szCs w:val="28"/>
        </w:rPr>
        <w:t>四、投标文件的递交</w:t>
      </w:r>
      <w:bookmarkEnd w:id="53"/>
      <w:bookmarkEnd w:id="54"/>
      <w:bookmarkEnd w:id="55"/>
    </w:p>
    <w:p>
      <w:pPr>
        <w:spacing w:line="500" w:lineRule="exact"/>
        <w:ind w:left="480" w:hanging="480"/>
        <w:rPr>
          <w:rFonts w:ascii="宋体" w:hAnsi="宋体"/>
          <w:b/>
          <w:color w:val="000000" w:themeColor="text1"/>
          <w:sz w:val="24"/>
        </w:rPr>
      </w:pPr>
      <w:r>
        <w:rPr>
          <w:rFonts w:ascii="宋体" w:hAnsi="宋体"/>
          <w:b/>
          <w:color w:val="000000" w:themeColor="text1"/>
          <w:sz w:val="24"/>
        </w:rPr>
        <w:t>15、投标文件的密封和标记</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15.1 </w:t>
      </w:r>
      <w:r>
        <w:rPr>
          <w:rFonts w:hint="eastAsia" w:ascii="宋体" w:hAnsi="宋体"/>
          <w:color w:val="000000" w:themeColor="text1"/>
          <w:sz w:val="24"/>
        </w:rPr>
        <w:t>投标人应将投标文件的商务卷、技术卷和资质卷按以下办法分别密封和标记。</w:t>
      </w:r>
    </w:p>
    <w:p>
      <w:pPr>
        <w:spacing w:line="500" w:lineRule="exact"/>
        <w:ind w:left="1049" w:leftChars="214" w:hanging="600"/>
        <w:rPr>
          <w:rFonts w:ascii="宋体" w:hAnsi="宋体"/>
          <w:color w:val="000000" w:themeColor="text1"/>
          <w:sz w:val="24"/>
        </w:rPr>
      </w:pPr>
      <w:r>
        <w:rPr>
          <w:rFonts w:ascii="宋体" w:hAnsi="宋体"/>
          <w:color w:val="000000" w:themeColor="text1"/>
          <w:sz w:val="24"/>
        </w:rPr>
        <w:t xml:space="preserve">15.1.1 </w:t>
      </w:r>
      <w:r>
        <w:rPr>
          <w:rFonts w:hint="eastAsia" w:ascii="宋体" w:hAnsi="宋体"/>
          <w:color w:val="000000" w:themeColor="text1"/>
          <w:sz w:val="24"/>
        </w:rPr>
        <w:t>商务卷，内含投标函、项目报价表、分项报价表和法人授权书（如为联合体投标的还应提供联合协议，联合协议须载明联合体各方承担的工作和义务）一正三副。</w:t>
      </w:r>
    </w:p>
    <w:p>
      <w:pPr>
        <w:spacing w:line="500" w:lineRule="exact"/>
        <w:ind w:left="1049" w:leftChars="214" w:hanging="600"/>
        <w:rPr>
          <w:rFonts w:ascii="宋体" w:hAnsi="宋体"/>
          <w:color w:val="000000" w:themeColor="text1"/>
          <w:sz w:val="24"/>
        </w:rPr>
      </w:pPr>
      <w:r>
        <w:rPr>
          <w:rFonts w:ascii="宋体" w:hAnsi="宋体"/>
          <w:color w:val="000000" w:themeColor="text1"/>
          <w:sz w:val="24"/>
        </w:rPr>
        <w:t xml:space="preserve">15.1.2 </w:t>
      </w:r>
      <w:r>
        <w:rPr>
          <w:rFonts w:hint="eastAsia" w:ascii="宋体" w:hAnsi="宋体"/>
          <w:color w:val="000000" w:themeColor="text1"/>
          <w:sz w:val="24"/>
        </w:rPr>
        <w:t>技术卷袋，内含投标文件技术卷一正六副，投标人应在技术卷的正本封面加盖投标人公章并由投标文件签字人签字或者加盖其个人印章。</w:t>
      </w:r>
    </w:p>
    <w:p>
      <w:pPr>
        <w:spacing w:line="500" w:lineRule="exact"/>
        <w:ind w:left="1049" w:leftChars="214" w:hanging="600"/>
        <w:rPr>
          <w:rFonts w:ascii="宋体" w:hAnsi="宋体"/>
          <w:color w:val="000000" w:themeColor="text1"/>
          <w:sz w:val="24"/>
        </w:rPr>
      </w:pPr>
      <w:r>
        <w:rPr>
          <w:rFonts w:ascii="宋体" w:hAnsi="宋体"/>
          <w:color w:val="000000" w:themeColor="text1"/>
          <w:sz w:val="24"/>
        </w:rPr>
        <w:t>15.1.3资质卷袋，内含的投标文件资质卷一正六副。</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15.2 </w:t>
      </w:r>
      <w:r>
        <w:rPr>
          <w:rFonts w:hint="eastAsia" w:ascii="宋体" w:hAnsi="宋体"/>
          <w:color w:val="000000" w:themeColor="text1"/>
          <w:sz w:val="24"/>
        </w:rPr>
        <w:t>投标文件中商务卷、技术卷袋和资质卷袋的密封袋正面须按照以下格式写明：</w:t>
      </w:r>
    </w:p>
    <w:tbl>
      <w:tblPr>
        <w:tblStyle w:val="41"/>
        <w:tblW w:w="962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spacing w:line="500" w:lineRule="exact"/>
              <w:rPr>
                <w:rFonts w:ascii="宋体" w:hAnsi="宋体"/>
                <w:color w:val="000000" w:themeColor="text1"/>
                <w:sz w:val="24"/>
              </w:rPr>
            </w:pPr>
            <w:r>
              <w:rPr>
                <w:rFonts w:hint="eastAsia" w:ascii="宋体" w:hAnsi="宋体"/>
                <w:color w:val="000000" w:themeColor="text1"/>
                <w:sz w:val="24"/>
              </w:rPr>
              <w:t>×卷袋</w:t>
            </w:r>
          </w:p>
          <w:p>
            <w:pPr>
              <w:spacing w:line="500" w:lineRule="exact"/>
              <w:jc w:val="center"/>
              <w:rPr>
                <w:rFonts w:ascii="宋体" w:hAnsi="宋体"/>
                <w:b/>
                <w:color w:val="000000" w:themeColor="text1"/>
                <w:sz w:val="28"/>
                <w:szCs w:val="28"/>
              </w:rPr>
            </w:pPr>
            <w:r>
              <w:rPr>
                <w:rFonts w:ascii="宋体" w:hAnsi="宋体"/>
                <w:b/>
                <w:color w:val="000000" w:themeColor="text1"/>
                <w:sz w:val="28"/>
                <w:szCs w:val="28"/>
              </w:rPr>
              <w:t>2020年</w:t>
            </w:r>
            <w:r>
              <w:rPr>
                <w:rFonts w:hint="eastAsia" w:ascii="宋体" w:hAnsi="宋体"/>
                <w:b/>
                <w:color w:val="000000" w:themeColor="text1"/>
                <w:sz w:val="28"/>
                <w:szCs w:val="28"/>
              </w:rPr>
              <w:t>安徽</w:t>
            </w:r>
            <w:r>
              <w:rPr>
                <w:rFonts w:ascii="宋体" w:hAnsi="宋体"/>
                <w:b/>
                <w:color w:val="000000" w:themeColor="text1"/>
                <w:sz w:val="28"/>
                <w:szCs w:val="28"/>
              </w:rPr>
              <w:t>省国家地下水监测工程（水利部分）</w:t>
            </w:r>
            <w:r>
              <w:rPr>
                <w:rFonts w:hint="eastAsia" w:ascii="宋体" w:hAnsi="宋体"/>
                <w:b/>
                <w:color w:val="000000" w:themeColor="text1"/>
                <w:sz w:val="28"/>
                <w:szCs w:val="28"/>
              </w:rPr>
              <w:t>监测系统运行维护和地下水水质监测项目投标文件</w:t>
            </w:r>
          </w:p>
          <w:p>
            <w:pPr>
              <w:spacing w:line="500" w:lineRule="exact"/>
              <w:rPr>
                <w:rFonts w:ascii="宋体" w:hAnsi="宋体"/>
                <w:color w:val="000000" w:themeColor="text1"/>
                <w:sz w:val="24"/>
              </w:rPr>
            </w:pPr>
            <w:r>
              <w:rPr>
                <w:rFonts w:hint="eastAsia" w:ascii="宋体" w:hAnsi="宋体"/>
                <w:color w:val="000000" w:themeColor="text1"/>
                <w:sz w:val="24"/>
              </w:rPr>
              <w:t>投标人（或联合体牵头单位）：（盖章）</w:t>
            </w:r>
          </w:p>
          <w:p>
            <w:pPr>
              <w:spacing w:line="500" w:lineRule="exact"/>
              <w:rPr>
                <w:rFonts w:ascii="宋体" w:hAnsi="宋体"/>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址：                              </w:t>
            </w:r>
          </w:p>
          <w:p>
            <w:pPr>
              <w:spacing w:line="500" w:lineRule="exact"/>
              <w:rPr>
                <w:rFonts w:ascii="宋体" w:hAnsi="宋体"/>
                <w:color w:val="000000" w:themeColor="text1"/>
                <w:sz w:val="24"/>
              </w:rPr>
            </w:pPr>
            <w:r>
              <w:rPr>
                <w:rFonts w:ascii="宋体" w:hAnsi="宋体"/>
                <w:color w:val="000000" w:themeColor="text1"/>
                <w:sz w:val="24"/>
              </w:rPr>
              <w:t xml:space="preserve">                        2020年  月  日  时  分开标，此时间以前不得开封</w:t>
            </w:r>
          </w:p>
        </w:tc>
      </w:tr>
    </w:tbl>
    <w:p>
      <w:pPr>
        <w:spacing w:line="500" w:lineRule="exact"/>
        <w:ind w:left="600" w:hanging="600"/>
        <w:rPr>
          <w:rFonts w:ascii="宋体" w:hAnsi="宋体"/>
          <w:color w:val="000000" w:themeColor="text1"/>
          <w:sz w:val="24"/>
        </w:rPr>
      </w:pP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15.3 </w:t>
      </w:r>
      <w:r>
        <w:rPr>
          <w:rFonts w:hint="eastAsia" w:ascii="宋体" w:hAnsi="宋体"/>
          <w:color w:val="000000" w:themeColor="text1"/>
          <w:sz w:val="24"/>
        </w:rPr>
        <w:t>投标文件的密封袋和密封条由投标人自行准备，当一个投标袋不能满足投标文件的封装要求时，采购人允许投标人使用同规格的其他密封袋进行封装。投标文件的密封袋的封口处应由投标人用自制封条在封口处密封并以骑缝方式加盖公章。</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15.4 </w:t>
      </w:r>
      <w:r>
        <w:rPr>
          <w:rFonts w:hint="eastAsia" w:ascii="宋体" w:hAnsi="宋体"/>
          <w:color w:val="000000" w:themeColor="text1"/>
          <w:sz w:val="24"/>
        </w:rPr>
        <w:t>如果密封袋未按上述要求密封和加写标记，采购人对误投或过早启封概不负责，投标人自行承担相关风险。对由此造成提前开封的投标文件，采购人将予以拒绝，并退回投标人。</w:t>
      </w:r>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56" w:name="_Toc42206693"/>
      <w:bookmarkStart w:id="57" w:name="_Toc414384919"/>
      <w:bookmarkStart w:id="58" w:name="_Toc5235"/>
      <w:r>
        <w:rPr>
          <w:rFonts w:hint="eastAsia" w:ascii="宋体" w:hAnsi="宋体" w:eastAsia="宋体"/>
          <w:bCs w:val="0"/>
          <w:color w:val="000000" w:themeColor="text1"/>
          <w:sz w:val="28"/>
          <w:szCs w:val="28"/>
        </w:rPr>
        <w:t>五、标书投递</w:t>
      </w:r>
      <w:bookmarkEnd w:id="56"/>
      <w:bookmarkEnd w:id="57"/>
      <w:bookmarkEnd w:id="58"/>
    </w:p>
    <w:p>
      <w:pPr>
        <w:spacing w:line="500" w:lineRule="exact"/>
        <w:ind w:left="480" w:hanging="480"/>
        <w:rPr>
          <w:rFonts w:ascii="宋体" w:hAnsi="宋体"/>
          <w:b/>
          <w:color w:val="000000" w:themeColor="text1"/>
          <w:sz w:val="24"/>
        </w:rPr>
      </w:pPr>
      <w:r>
        <w:rPr>
          <w:rFonts w:ascii="宋体" w:hAnsi="宋体"/>
          <w:b/>
          <w:color w:val="000000" w:themeColor="text1"/>
          <w:sz w:val="24"/>
        </w:rPr>
        <w:t>16、投标截止日期</w:t>
      </w:r>
    </w:p>
    <w:p>
      <w:pPr>
        <w:spacing w:line="500" w:lineRule="exact"/>
        <w:ind w:left="600" w:hanging="600"/>
        <w:rPr>
          <w:rFonts w:ascii="宋体" w:hAnsi="宋体"/>
          <w:color w:val="000000" w:themeColor="text1"/>
          <w:sz w:val="24"/>
        </w:rPr>
      </w:pPr>
      <w:r>
        <w:rPr>
          <w:rFonts w:ascii="宋体" w:hAnsi="宋体"/>
          <w:color w:val="000000" w:themeColor="text1"/>
          <w:sz w:val="24"/>
        </w:rPr>
        <w:t>16.1</w:t>
      </w:r>
      <w:r>
        <w:rPr>
          <w:rFonts w:hint="eastAsia" w:ascii="宋体" w:hAnsi="宋体"/>
          <w:color w:val="000000" w:themeColor="text1"/>
          <w:sz w:val="24"/>
        </w:rPr>
        <w:t>投标文件的递交时间不得迟于招标公告中规定的截止时间。否则将拒绝并原封退回在其规定的截止期后收到的任何投标文件。</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16.2 </w:t>
      </w:r>
      <w:r>
        <w:rPr>
          <w:rFonts w:hint="eastAsia" w:ascii="宋体" w:hAnsi="宋体"/>
          <w:color w:val="000000" w:themeColor="text1"/>
          <w:sz w:val="24"/>
        </w:rPr>
        <w:t>按第</w:t>
      </w:r>
      <w:r>
        <w:rPr>
          <w:rFonts w:ascii="宋体" w:hAnsi="宋体"/>
          <w:color w:val="000000" w:themeColor="text1"/>
          <w:sz w:val="24"/>
        </w:rPr>
        <w:t>6条规定，通过修改招标文件自行决定酌情延长投标截止期。在此情况下，买方和投标人受投标截止期制约的所有权利和义务均应延长至新的截止日期。</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17、 </w:t>
      </w:r>
      <w:r>
        <w:rPr>
          <w:rFonts w:hint="eastAsia" w:ascii="宋体" w:hAnsi="宋体"/>
          <w:b/>
          <w:color w:val="000000" w:themeColor="text1"/>
          <w:sz w:val="24"/>
        </w:rPr>
        <w:t>投标文件的递交和投标文件的修改与撤回</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17.1 </w:t>
      </w:r>
      <w:r>
        <w:rPr>
          <w:rFonts w:hint="eastAsia" w:ascii="宋体" w:hAnsi="宋体"/>
          <w:color w:val="000000" w:themeColor="text1"/>
          <w:sz w:val="24"/>
        </w:rPr>
        <w:t>投标人一旦递交采购人投标文件，就意味着投标人全面接受招标文件的约束。</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17.2 </w:t>
      </w:r>
      <w:r>
        <w:rPr>
          <w:rFonts w:hint="eastAsia" w:ascii="宋体" w:hAnsi="宋体"/>
          <w:color w:val="000000" w:themeColor="text1"/>
          <w:sz w:val="24"/>
        </w:rPr>
        <w:t>投标人在递交投标文件后，可以修改或撤回其投标，但投标人必须在规定的投标截止期之前，将修改或撤回的书面通知送达采购人，否则视为未修改或未撤回。投标人对投标文件修改或撤回的通知应按本须知相关条款进行编制、密封、标记和发送，并应在封套上加注“修改”或“撤回”字样。</w:t>
      </w:r>
    </w:p>
    <w:p>
      <w:pPr>
        <w:spacing w:line="500" w:lineRule="exact"/>
        <w:ind w:left="720" w:hanging="720"/>
        <w:rPr>
          <w:rFonts w:ascii="宋体" w:hAnsi="宋体"/>
          <w:color w:val="000000" w:themeColor="text1"/>
          <w:sz w:val="24"/>
        </w:rPr>
      </w:pPr>
      <w:r>
        <w:rPr>
          <w:rFonts w:ascii="宋体" w:hAnsi="宋体"/>
          <w:color w:val="000000" w:themeColor="text1"/>
          <w:sz w:val="24"/>
        </w:rPr>
        <w:t xml:space="preserve">17.3 </w:t>
      </w:r>
      <w:r>
        <w:rPr>
          <w:rFonts w:hint="eastAsia" w:ascii="宋体" w:hAnsi="宋体"/>
          <w:color w:val="000000" w:themeColor="text1"/>
          <w:sz w:val="24"/>
        </w:rPr>
        <w:t>在投标截止期之后，投标人不得对其投标做任何修改。</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17.4 </w:t>
      </w:r>
      <w:r>
        <w:rPr>
          <w:rFonts w:hint="eastAsia" w:ascii="宋体" w:hAnsi="宋体"/>
          <w:color w:val="000000" w:themeColor="text1"/>
          <w:sz w:val="24"/>
        </w:rPr>
        <w:t>从投标截止期至投标人在投标函格式中确定的投标有效期之间的这段时间内，投标人不得撤销其投标。</w:t>
      </w:r>
    </w:p>
    <w:p>
      <w:pPr>
        <w:spacing w:line="500" w:lineRule="exact"/>
        <w:ind w:left="600" w:hanging="600"/>
        <w:rPr>
          <w:rFonts w:ascii="宋体" w:hAnsi="宋体"/>
          <w:color w:val="000000" w:themeColor="text1"/>
          <w:sz w:val="24"/>
        </w:rPr>
      </w:pPr>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59" w:name="_Toc414384920"/>
      <w:bookmarkStart w:id="60" w:name="_Toc42206694"/>
      <w:bookmarkStart w:id="61" w:name="_Toc17263"/>
      <w:r>
        <w:rPr>
          <w:rFonts w:hint="eastAsia" w:ascii="宋体" w:hAnsi="宋体" w:eastAsia="宋体"/>
          <w:bCs w:val="0"/>
          <w:color w:val="000000" w:themeColor="text1"/>
          <w:sz w:val="28"/>
          <w:szCs w:val="28"/>
        </w:rPr>
        <w:t>六、开标与评标</w:t>
      </w:r>
      <w:bookmarkEnd w:id="59"/>
      <w:bookmarkEnd w:id="60"/>
      <w:bookmarkEnd w:id="61"/>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18、 </w:t>
      </w:r>
      <w:r>
        <w:rPr>
          <w:rFonts w:hint="eastAsia" w:ascii="宋体" w:hAnsi="宋体"/>
          <w:b/>
          <w:color w:val="000000" w:themeColor="text1"/>
          <w:sz w:val="24"/>
        </w:rPr>
        <w:t>开标</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18.1 </w:t>
      </w:r>
      <w:r>
        <w:rPr>
          <w:rFonts w:hint="eastAsia" w:ascii="宋体" w:hAnsi="宋体"/>
          <w:color w:val="000000" w:themeColor="text1"/>
          <w:sz w:val="24"/>
        </w:rPr>
        <w:t>买方将在招标公告规定的时间和地点组织公开开标。投标人可委派代表参加，参加开标的代表应签名报到以证明其出席。</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18.2 </w:t>
      </w:r>
      <w:r>
        <w:rPr>
          <w:rFonts w:hint="eastAsia" w:ascii="宋体" w:hAnsi="宋体"/>
          <w:color w:val="000000" w:themeColor="text1"/>
          <w:sz w:val="24"/>
        </w:rPr>
        <w:t>按照第</w:t>
      </w:r>
      <w:r>
        <w:rPr>
          <w:rFonts w:ascii="宋体" w:hAnsi="宋体"/>
          <w:color w:val="000000" w:themeColor="text1"/>
          <w:sz w:val="24"/>
        </w:rPr>
        <w:t>17条规定，提交了可接受的“撤回”通知的投标将不予开封。</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18.3 </w:t>
      </w:r>
      <w:r>
        <w:rPr>
          <w:rFonts w:hint="eastAsia" w:ascii="宋体" w:hAnsi="宋体"/>
          <w:color w:val="000000" w:themeColor="text1"/>
          <w:sz w:val="24"/>
        </w:rPr>
        <w:t>开标时，买方将当众宣读投标人名称、投标价格、声明或折扣、书面修改和撤回投标的通知、是否提交投标保证金，以及买方认为合适的其它内容，只有在开标时唱出的折扣评标时才能考虑。</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18.4 </w:t>
      </w:r>
      <w:r>
        <w:rPr>
          <w:rFonts w:hint="eastAsia" w:ascii="宋体" w:hAnsi="宋体"/>
          <w:color w:val="000000" w:themeColor="text1"/>
          <w:sz w:val="24"/>
        </w:rPr>
        <w:t>买方将作开标记录，开标记录包括按规定的在开标时宣读的全部内容。</w:t>
      </w:r>
    </w:p>
    <w:p>
      <w:pPr>
        <w:spacing w:line="500" w:lineRule="exact"/>
        <w:ind w:left="720" w:hanging="720"/>
        <w:rPr>
          <w:rFonts w:ascii="宋体" w:hAnsi="宋体"/>
          <w:color w:val="000000" w:themeColor="text1"/>
          <w:sz w:val="24"/>
        </w:rPr>
      </w:pPr>
      <w:r>
        <w:rPr>
          <w:rFonts w:ascii="宋体" w:hAnsi="宋体"/>
          <w:b/>
          <w:color w:val="000000" w:themeColor="text1"/>
          <w:sz w:val="24"/>
        </w:rPr>
        <w:t>19、评标委员会</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按照《政府采购法》及相关的规定组建评标委员会。评标委员会负责评标和推荐中标候选人。评标委员会成员人数为</w:t>
      </w:r>
      <w:r>
        <w:rPr>
          <w:rFonts w:ascii="宋体" w:hAnsi="宋体"/>
          <w:color w:val="000000" w:themeColor="text1"/>
          <w:sz w:val="24"/>
        </w:rPr>
        <w:t>7人，由采购人代表2人和有关技术、经济等方面的专家5人组成。</w:t>
      </w:r>
    </w:p>
    <w:p>
      <w:pPr>
        <w:spacing w:line="500" w:lineRule="exact"/>
        <w:ind w:left="720" w:hanging="720"/>
        <w:rPr>
          <w:rFonts w:ascii="宋体" w:hAnsi="宋体"/>
          <w:color w:val="000000" w:themeColor="text1"/>
          <w:sz w:val="24"/>
        </w:rPr>
      </w:pPr>
      <w:r>
        <w:rPr>
          <w:rFonts w:ascii="宋体" w:hAnsi="宋体"/>
          <w:b/>
          <w:color w:val="000000" w:themeColor="text1"/>
          <w:sz w:val="24"/>
        </w:rPr>
        <w:t xml:space="preserve">20、 </w:t>
      </w:r>
      <w:r>
        <w:rPr>
          <w:rFonts w:hint="eastAsia" w:ascii="宋体" w:hAnsi="宋体"/>
          <w:b/>
          <w:color w:val="000000" w:themeColor="text1"/>
          <w:sz w:val="24"/>
        </w:rPr>
        <w:t>评标过程的保密性</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20.1 </w:t>
      </w:r>
      <w:r>
        <w:rPr>
          <w:rFonts w:hint="eastAsia" w:ascii="宋体" w:hAnsi="宋体"/>
          <w:color w:val="000000" w:themeColor="text1"/>
          <w:sz w:val="24"/>
        </w:rPr>
        <w:t>公开开标后，直至向中标的投标人授予合同时止，凡与审查、澄清、评价和比较投标的有关资料以及授标意见等，均不得向投标人及与评标无关的其它人透露。</w:t>
      </w:r>
    </w:p>
    <w:p>
      <w:pPr>
        <w:spacing w:line="500" w:lineRule="exact"/>
        <w:ind w:left="720" w:hanging="720"/>
        <w:rPr>
          <w:rFonts w:ascii="宋体" w:hAnsi="宋体"/>
          <w:color w:val="000000" w:themeColor="text1"/>
          <w:sz w:val="24"/>
        </w:rPr>
      </w:pPr>
      <w:r>
        <w:rPr>
          <w:rFonts w:ascii="宋体" w:hAnsi="宋体"/>
          <w:color w:val="000000" w:themeColor="text1"/>
          <w:sz w:val="24"/>
        </w:rPr>
        <w:t xml:space="preserve">20.2 </w:t>
      </w:r>
      <w:r>
        <w:rPr>
          <w:rFonts w:hint="eastAsia" w:ascii="宋体" w:hAnsi="宋体"/>
          <w:color w:val="000000" w:themeColor="text1"/>
          <w:sz w:val="24"/>
        </w:rPr>
        <w:t>在评标过程中，如果投标人试图在投标文件审查、澄清、比较及授予合同方面向买方施加任何影响，其投标将被拒绝。</w:t>
      </w:r>
    </w:p>
    <w:p>
      <w:pPr>
        <w:spacing w:line="500" w:lineRule="exact"/>
        <w:ind w:left="720" w:hanging="720"/>
        <w:rPr>
          <w:rFonts w:ascii="宋体" w:hAnsi="宋体"/>
          <w:color w:val="000000" w:themeColor="text1"/>
          <w:sz w:val="24"/>
        </w:rPr>
      </w:pPr>
      <w:r>
        <w:rPr>
          <w:rFonts w:ascii="宋体" w:hAnsi="宋体"/>
          <w:b/>
          <w:color w:val="000000" w:themeColor="text1"/>
          <w:sz w:val="24"/>
        </w:rPr>
        <w:t xml:space="preserve">21、 </w:t>
      </w:r>
      <w:r>
        <w:rPr>
          <w:rFonts w:hint="eastAsia" w:ascii="宋体" w:hAnsi="宋体"/>
          <w:b/>
          <w:color w:val="000000" w:themeColor="text1"/>
          <w:sz w:val="24"/>
        </w:rPr>
        <w:t>投标文件的澄清</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21.1 </w:t>
      </w:r>
      <w:r>
        <w:rPr>
          <w:rFonts w:hint="eastAsia" w:ascii="宋体" w:hAnsi="宋体"/>
          <w:color w:val="000000" w:themeColor="text1"/>
          <w:sz w:val="24"/>
        </w:rPr>
        <w:t>为有助于对投标文件的审查、评价和比较，买方可分别要求投标人对其投标文件进行澄清，有关澄清的要求和答复应以书面形式包括电传、传真提交，但不得寻求提供或允许对投标价格或实质性内容做任何更改。</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22、 </w:t>
      </w:r>
      <w:r>
        <w:rPr>
          <w:rFonts w:hint="eastAsia" w:ascii="宋体" w:hAnsi="宋体"/>
          <w:b/>
          <w:color w:val="000000" w:themeColor="text1"/>
          <w:sz w:val="24"/>
        </w:rPr>
        <w:t>投标文件的初审</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22.1 </w:t>
      </w:r>
      <w:r>
        <w:rPr>
          <w:rFonts w:hint="eastAsia" w:ascii="宋体" w:hAnsi="宋体"/>
          <w:color w:val="000000" w:themeColor="text1"/>
          <w:sz w:val="24"/>
        </w:rPr>
        <w:t>资格性检查。采购人和采购代理机构将依据法律法规和招标文件的规定，对投标文件中的资格证明进行审查。资格性审查的任一项不符合都将导致投标文件</w:t>
      </w:r>
      <w:r>
        <w:rPr>
          <w:rFonts w:hint="eastAsia" w:ascii="宋体" w:hAnsi="宋体"/>
          <w:b/>
          <w:bCs/>
          <w:color w:val="000000" w:themeColor="text1"/>
          <w:sz w:val="24"/>
        </w:rPr>
        <w:t>作为无效投标被拒绝</w:t>
      </w:r>
      <w:r>
        <w:rPr>
          <w:rFonts w:hint="eastAsia" w:ascii="宋体" w:hAnsi="宋体"/>
          <w:color w:val="000000" w:themeColor="text1"/>
          <w:sz w:val="24"/>
        </w:rPr>
        <w:t>。</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22.2 </w:t>
      </w:r>
      <w:r>
        <w:rPr>
          <w:rFonts w:hint="eastAsia" w:ascii="宋体" w:hAnsi="宋体"/>
          <w:color w:val="000000" w:themeColor="text1"/>
          <w:sz w:val="24"/>
        </w:rPr>
        <w:t>伪造或虚假文件处理。无论在资格性审查阶段，还是在后续评标阶段或者确定中标人之后，一旦发现投标人有伪造资格证明或其他提供虚假的证明材料行为的，将对投标人的投标书作无效投标处理，即使该投标人中标，中标结果将视为无效；并且，采购人有权根据相关法律规定，要求投标人承担相关法律责任。</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22.3 </w:t>
      </w:r>
      <w:r>
        <w:rPr>
          <w:rFonts w:hint="eastAsia" w:ascii="宋体" w:hAnsi="宋体"/>
          <w:color w:val="000000" w:themeColor="text1"/>
          <w:sz w:val="24"/>
        </w:rPr>
        <w:t>符合性检查。评标委员会将依据招标文件的规定，从投标文件的有效性、完整性和对招标文件的响应程度进行审查。符合性审查的任一项不符合都将导致投标文件</w:t>
      </w:r>
      <w:r>
        <w:rPr>
          <w:rFonts w:hint="eastAsia" w:ascii="宋体" w:hAnsi="宋体"/>
          <w:b/>
          <w:bCs/>
          <w:color w:val="000000" w:themeColor="text1"/>
          <w:sz w:val="24"/>
        </w:rPr>
        <w:t>作为无效投标被拒绝</w:t>
      </w:r>
      <w:r>
        <w:rPr>
          <w:rFonts w:hint="eastAsia" w:ascii="宋体" w:hAnsi="宋体"/>
          <w:color w:val="000000" w:themeColor="text1"/>
          <w:sz w:val="24"/>
        </w:rPr>
        <w:t>。</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22.4 </w:t>
      </w:r>
      <w:r>
        <w:rPr>
          <w:rFonts w:hint="eastAsia" w:ascii="宋体" w:hAnsi="宋体"/>
          <w:color w:val="000000" w:themeColor="text1"/>
          <w:sz w:val="24"/>
        </w:rPr>
        <w:t>实质上响应的投标应该是与招标文件要求的全部条款、条件和规格相符，没有重大偏离的投标。所谓重大偏离是指实质上影响工作范围、质量、性能及服务等，或者实质上与招标文件不一致而导致限制了采购人的权利或减轻投标人的义务。纠正这些偏离或保留将会对其他实质上响应要求的投标人的竞争地位产生不公正的影响。评标委员会决定投标的响应性只根据投标本身的内容，而不寻求外部的证据。</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22.5 </w:t>
      </w:r>
      <w:r>
        <w:rPr>
          <w:rFonts w:hint="eastAsia" w:ascii="宋体" w:hAnsi="宋体"/>
          <w:color w:val="000000" w:themeColor="text1"/>
          <w:sz w:val="24"/>
        </w:rPr>
        <w:t>实质上没有响应招标文件要求的投标将被拒绝。投标人不得通过修正或撤销不合要求的偏离或保留从而使其投标成为实质上响应的投标。</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22.6 </w:t>
      </w:r>
      <w:r>
        <w:rPr>
          <w:rFonts w:hint="eastAsia" w:ascii="宋体" w:hAnsi="宋体"/>
          <w:color w:val="000000" w:themeColor="text1"/>
          <w:sz w:val="24"/>
        </w:rPr>
        <w:t>投标人有下列情况之一的，经评标委员会全体一致同意，其投标文件将被按照无效投标处理。经评标委员会认定的无效投标文件，不得进入下一轮的详细评审：</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投标人未提交投标保证金或形式不符或金额不足的；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投标有效期不足的；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投标文件未按照招标文件规定要求制作、密封、签署、盖章的；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未提供法定代表人授权书的（如果所有投标文件均由单位法定代表人直接签署，可不提供本文件）；</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投标人有违法违纪行为，被列入失信被执行人、重大税收违法案件当事人名单、政府采购严重违法失信行为记录名单的；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投标文件中提供虚假或失实资料的；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报价超过招标文件中规定的预算金额或者最高限价的；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投标人报价明显低于其他有效报价，有可能影响产品质量或不能诚信履约，但经要求在评标现场合理时间内未提供书面说明或书面说明不能证明报价合理性的；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不符合法律、法规和招标文件中</w:t>
      </w:r>
      <w:r>
        <w:rPr>
          <w:rFonts w:ascii="宋体" w:hAnsi="宋体"/>
          <w:color w:val="000000" w:themeColor="text1"/>
          <w:sz w:val="24"/>
        </w:rPr>
        <w:t>*号条款规定的。</w:t>
      </w:r>
    </w:p>
    <w:p>
      <w:pPr>
        <w:numPr>
          <w:ilvl w:val="1"/>
          <w:numId w:val="4"/>
        </w:numPr>
        <w:spacing w:line="500" w:lineRule="exact"/>
        <w:rPr>
          <w:rFonts w:ascii="宋体" w:hAnsi="宋体"/>
          <w:color w:val="000000" w:themeColor="text1"/>
          <w:sz w:val="24"/>
        </w:rPr>
      </w:pPr>
      <w:r>
        <w:rPr>
          <w:rFonts w:hint="eastAsia" w:ascii="宋体" w:hAnsi="宋体"/>
          <w:color w:val="000000" w:themeColor="text1"/>
          <w:sz w:val="24"/>
        </w:rPr>
        <w:t>有下列情形之一的，视为投标人串通投标，其投标无效：不同投标人的投标文件由同一单位或者个人编制；不同投标人委托同一单位或者个人办理投标事宜；不同投标人的投标文件载明的项目管理成员或者联系人员为同一人；不同投标人的投标文件异常一致或者投标报价呈规律性差异；不同投标人的投标文件相互混装；不同投标人的投标保证金从同一单位或者个人的账户转出。</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22.7 </w:t>
      </w:r>
      <w:r>
        <w:rPr>
          <w:rFonts w:hint="eastAsia" w:ascii="宋体" w:hAnsi="宋体"/>
          <w:color w:val="000000" w:themeColor="text1"/>
          <w:sz w:val="24"/>
        </w:rPr>
        <w:t>如果评标委员会发现投标文件存在细微偏差性质的不完整、疏漏或计算累加上的错误，评标委员会有权要求投标人以书面形式予以补正或按照招标文件规定进行修正，投标人拒绝按评标委员会要求补正或拒绝确认修正结果的，其投标文件将被按照无效投标处理。上述补正或修正不能影响任何投标人相应的名次排列。</w:t>
      </w:r>
    </w:p>
    <w:p>
      <w:pPr>
        <w:spacing w:line="500" w:lineRule="exact"/>
        <w:rPr>
          <w:rFonts w:ascii="宋体" w:hAnsi="宋体"/>
          <w:b/>
          <w:color w:val="000000" w:themeColor="text1"/>
          <w:sz w:val="24"/>
        </w:rPr>
      </w:pPr>
      <w:r>
        <w:rPr>
          <w:rFonts w:ascii="宋体" w:hAnsi="宋体"/>
          <w:b/>
          <w:color w:val="000000" w:themeColor="text1"/>
          <w:sz w:val="24"/>
        </w:rPr>
        <w:t>23.</w:t>
      </w:r>
      <w:r>
        <w:rPr>
          <w:rFonts w:ascii="宋体" w:hAnsi="宋体"/>
          <w:b/>
          <w:color w:val="000000" w:themeColor="text1"/>
          <w:sz w:val="24"/>
        </w:rPr>
        <w:tab/>
      </w:r>
      <w:r>
        <w:rPr>
          <w:rFonts w:hint="eastAsia" w:ascii="宋体" w:hAnsi="宋体"/>
          <w:b/>
          <w:color w:val="000000" w:themeColor="text1"/>
          <w:sz w:val="24"/>
        </w:rPr>
        <w:t>评标</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23.1 </w:t>
      </w:r>
      <w:r>
        <w:rPr>
          <w:rFonts w:hint="eastAsia" w:ascii="宋体" w:hAnsi="宋体"/>
          <w:color w:val="000000" w:themeColor="text1"/>
          <w:sz w:val="24"/>
        </w:rPr>
        <w:t>评标委员会将按照规定只对确定为实质上响应招标文件要求的投标进行评价和比较。</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23.2 </w:t>
      </w:r>
      <w:r>
        <w:rPr>
          <w:rFonts w:hint="eastAsia" w:ascii="宋体" w:hAnsi="宋体"/>
          <w:color w:val="000000" w:themeColor="text1"/>
          <w:sz w:val="24"/>
        </w:rPr>
        <w:t>评标委员会依据招标文件的要求，开展评标活动。遵循平等竞争、公正合理的原则，对投标单位的投标价格、资质、信誉、业绩、项目组人员配备、技术方案、质量控制、等进行综合评价。</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23.3 </w:t>
      </w:r>
      <w:r>
        <w:rPr>
          <w:rFonts w:hint="eastAsia" w:ascii="宋体" w:hAnsi="宋体"/>
          <w:color w:val="000000" w:themeColor="text1"/>
          <w:sz w:val="24"/>
        </w:rPr>
        <w:t>联合体中有同类资质的供应商按照联合体分工承担相同工作的，评标委员会应当按照资质等级较低的供应商确定资质等级进行评审。</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23.4 </w:t>
      </w:r>
      <w:r>
        <w:rPr>
          <w:rFonts w:hint="eastAsia" w:ascii="宋体" w:hAnsi="宋体"/>
          <w:color w:val="000000" w:themeColor="text1"/>
          <w:sz w:val="24"/>
        </w:rPr>
        <w:t>计分方法：评标委员会对进入详细评审阶段的投标供应商的投标，依据评分标准对评价项目进行独立评审、计分。计分采取记名的方式进行。各评委打分的算术平均值即为各投标供应商的最后得分（保留小数点后二位有效数字，后面的数字四舍五入）。</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23.5 </w:t>
      </w:r>
      <w:r>
        <w:rPr>
          <w:rFonts w:hint="eastAsia" w:ascii="宋体" w:hAnsi="宋体"/>
          <w:color w:val="000000" w:themeColor="text1"/>
          <w:sz w:val="24"/>
        </w:rPr>
        <w:t>评标委员会应根据综合评审和计分结果，按得分高低排序推荐评标总得分最高的投标人作为第一中标候选供应商。</w:t>
      </w:r>
    </w:p>
    <w:p>
      <w:pPr>
        <w:spacing w:line="500" w:lineRule="exact"/>
        <w:rPr>
          <w:rFonts w:ascii="宋体" w:hAnsi="宋体"/>
          <w:b/>
          <w:color w:val="000000" w:themeColor="text1"/>
          <w:sz w:val="24"/>
        </w:rPr>
      </w:pPr>
      <w:r>
        <w:rPr>
          <w:rFonts w:ascii="宋体" w:hAnsi="宋体"/>
          <w:b/>
          <w:color w:val="000000" w:themeColor="text1"/>
          <w:sz w:val="24"/>
        </w:rPr>
        <w:t>24.</w:t>
      </w:r>
      <w:r>
        <w:rPr>
          <w:rFonts w:ascii="宋体" w:hAnsi="宋体"/>
          <w:b/>
          <w:color w:val="000000" w:themeColor="text1"/>
          <w:sz w:val="24"/>
        </w:rPr>
        <w:tab/>
      </w:r>
      <w:r>
        <w:rPr>
          <w:rFonts w:hint="eastAsia" w:ascii="宋体" w:hAnsi="宋体"/>
          <w:b/>
          <w:color w:val="000000" w:themeColor="text1"/>
          <w:sz w:val="24"/>
        </w:rPr>
        <w:t>评分标准</w:t>
      </w:r>
    </w:p>
    <w:p>
      <w:pPr>
        <w:spacing w:line="500" w:lineRule="exact"/>
        <w:ind w:firstLine="480" w:firstLineChars="200"/>
        <w:rPr>
          <w:rFonts w:ascii="宋体" w:hAnsi="宋体"/>
          <w:sz w:val="24"/>
        </w:rPr>
      </w:pPr>
      <w:r>
        <w:rPr>
          <w:rFonts w:hint="eastAsia" w:ascii="宋体" w:hAnsi="宋体"/>
          <w:sz w:val="24"/>
        </w:rPr>
        <w:t>评分标准分三部分，价格部分</w:t>
      </w:r>
      <w:r>
        <w:rPr>
          <w:rFonts w:ascii="宋体" w:hAnsi="宋体"/>
          <w:sz w:val="24"/>
        </w:rPr>
        <w:t>10</w:t>
      </w:r>
      <w:r>
        <w:rPr>
          <w:rFonts w:hint="eastAsia" w:ascii="宋体" w:hAnsi="宋体"/>
          <w:sz w:val="24"/>
        </w:rPr>
        <w:t>分，商务部分</w:t>
      </w:r>
      <w:r>
        <w:rPr>
          <w:rFonts w:ascii="宋体" w:hAnsi="宋体"/>
          <w:color w:val="000000" w:themeColor="text1"/>
          <w:sz w:val="24"/>
        </w:rPr>
        <w:t>3</w:t>
      </w:r>
      <w:r>
        <w:rPr>
          <w:rFonts w:hint="eastAsia" w:ascii="宋体" w:hAnsi="宋体"/>
          <w:color w:val="000000" w:themeColor="text1"/>
          <w:sz w:val="24"/>
        </w:rPr>
        <w:t>5</w:t>
      </w:r>
      <w:r>
        <w:rPr>
          <w:rFonts w:hint="eastAsia" w:ascii="宋体" w:hAnsi="宋体"/>
          <w:sz w:val="24"/>
        </w:rPr>
        <w:t>分，技术部分55分</w:t>
      </w:r>
      <w:r>
        <w:rPr>
          <w:rFonts w:ascii="宋体" w:hAnsi="宋体"/>
          <w:sz w:val="24"/>
        </w:rPr>
        <w:t>。</w:t>
      </w:r>
      <w:r>
        <w:rPr>
          <w:rFonts w:hint="eastAsia" w:ascii="宋体" w:hAnsi="宋体"/>
          <w:sz w:val="24"/>
        </w:rPr>
        <w:t>三项总分为</w:t>
      </w:r>
      <w:r>
        <w:rPr>
          <w:rFonts w:ascii="宋体" w:hAnsi="宋体"/>
          <w:sz w:val="24"/>
        </w:rPr>
        <w:t>100分。</w:t>
      </w:r>
    </w:p>
    <w:p>
      <w:pPr>
        <w:spacing w:line="500" w:lineRule="exact"/>
        <w:rPr>
          <w:rFonts w:ascii="宋体" w:hAnsi="宋体"/>
          <w:b/>
          <w:bCs/>
          <w:sz w:val="24"/>
        </w:rPr>
      </w:pPr>
      <w:r>
        <w:rPr>
          <w:rFonts w:ascii="宋体" w:hAnsi="宋体"/>
          <w:b/>
          <w:bCs/>
          <w:sz w:val="24"/>
        </w:rPr>
        <w:t>24.1</w:t>
      </w:r>
      <w:r>
        <w:rPr>
          <w:rFonts w:hint="eastAsia" w:ascii="宋体" w:hAnsi="宋体"/>
          <w:b/>
          <w:bCs/>
          <w:sz w:val="24"/>
        </w:rPr>
        <w:t>价格部分评分标准（10</w:t>
      </w:r>
      <w:r>
        <w:rPr>
          <w:rFonts w:ascii="宋体" w:hAnsi="宋体"/>
          <w:b/>
          <w:bCs/>
          <w:sz w:val="24"/>
        </w:rPr>
        <w:t>分）</w:t>
      </w:r>
    </w:p>
    <w:p>
      <w:pPr>
        <w:spacing w:line="500" w:lineRule="exact"/>
        <w:ind w:firstLine="480" w:firstLineChars="200"/>
        <w:rPr>
          <w:rFonts w:ascii="宋体" w:hAnsi="宋体"/>
          <w:sz w:val="24"/>
        </w:rPr>
      </w:pPr>
      <w:r>
        <w:rPr>
          <w:rFonts w:hint="eastAsia" w:ascii="宋体" w:hAnsi="宋体"/>
          <w:sz w:val="24"/>
        </w:rPr>
        <w:t>采用低价优先法计算，即满足招标文件要求且投标价格最低的投标报价为评标基准价，其他投标人的价格分按照下列公式计算：价格分</w:t>
      </w:r>
      <w:r>
        <w:rPr>
          <w:rFonts w:ascii="宋体" w:hAnsi="宋体"/>
          <w:sz w:val="24"/>
        </w:rPr>
        <w:t>=（评标基准价/投标报价）×</w:t>
      </w:r>
      <w:r>
        <w:rPr>
          <w:rFonts w:hint="eastAsia" w:ascii="宋体" w:hAnsi="宋体"/>
          <w:sz w:val="24"/>
        </w:rPr>
        <w:t>10</w:t>
      </w:r>
    </w:p>
    <w:p>
      <w:pPr>
        <w:spacing w:line="500" w:lineRule="exact"/>
        <w:ind w:firstLine="480" w:firstLineChars="200"/>
        <w:rPr>
          <w:rFonts w:ascii="宋体" w:hAnsi="宋体"/>
          <w:sz w:val="24"/>
        </w:rPr>
      </w:pPr>
      <w:r>
        <w:rPr>
          <w:rFonts w:hint="eastAsia" w:ascii="宋体" w:hAnsi="宋体"/>
          <w:sz w:val="24"/>
        </w:rPr>
        <w:t>特别说明：</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根据财政部、工业和信息化部发布的《政府采购促进中小企业发展暂行办法》、财政部、司法部发布的《关于政府采购支持监狱企业发展有关问题的通知》及财政部、民政部、中国残疾人联合会发布的《三部门联合发布关于促进残疾人就业政府采购政策的通知》的规定，如投标产品被认定为小微型企业或监狱企业或残疾人福利性单位制造的产品（须提供相关证明文件，小微企业提供《中小企业声明函》，监狱企业提供由省级以上监狱管理局、戒毒管理局</w:t>
      </w:r>
      <w:r>
        <w:rPr>
          <w:rFonts w:ascii="宋体" w:hAnsi="宋体"/>
          <w:sz w:val="24"/>
        </w:rPr>
        <w:t>(含新疆生产建设兵团)出具的属于监狱企业的证明文件，残疾人福利性单位提供《残疾人福利性单位声明函》），可在上述第1项价格评分中，对该产品的价格给予6%的扣除，并用扣除后的价格计算价格评分。</w:t>
      </w:r>
    </w:p>
    <w:p>
      <w:pPr>
        <w:spacing w:line="500" w:lineRule="exact"/>
        <w:ind w:firstLine="480" w:firstLineChars="200"/>
        <w:rPr>
          <w:rFonts w:ascii="宋体" w:hAnsi="宋体"/>
          <w:color w:val="FF0000"/>
          <w:sz w:val="24"/>
        </w:rPr>
      </w:pPr>
      <w:r>
        <w:rPr>
          <w:rFonts w:hint="eastAsia" w:ascii="宋体" w:hAnsi="宋体"/>
          <w:sz w:val="24"/>
        </w:rPr>
        <w:t>（</w:t>
      </w:r>
      <w:r>
        <w:rPr>
          <w:rFonts w:ascii="宋体" w:hAnsi="宋体"/>
          <w:sz w:val="24"/>
        </w:rPr>
        <w:t>2）</w:t>
      </w:r>
      <w:r>
        <w:rPr>
          <w:rFonts w:hint="eastAsia" w:ascii="宋体" w:hAnsi="宋体"/>
          <w:sz w:val="24"/>
        </w:rPr>
        <w:t>根</w:t>
      </w:r>
      <w:r>
        <w:rPr>
          <w:rFonts w:hint="eastAsia" w:ascii="宋体" w:hAnsi="宋体"/>
          <w:color w:val="000000" w:themeColor="text1"/>
          <w:sz w:val="24"/>
        </w:rPr>
        <w:t>据财政部《政府采购货物和服务招标投标管理办法》的规定，评标委员会认为投标人的报价明显低于其他通过符合性审查投标人的报价，有可能影响产品质量或者不能诚信履约的，应当要求其在评标现场合理的时间（一般为1小时内）内提供书面说明，需提供相关证明材料；投标人不能证明其报价合理性的，评标委员会应当将其作为无效标处理。</w:t>
      </w:r>
    </w:p>
    <w:p>
      <w:pPr>
        <w:tabs>
          <w:tab w:val="left" w:pos="8452"/>
        </w:tabs>
        <w:spacing w:line="500" w:lineRule="exact"/>
        <w:rPr>
          <w:rFonts w:ascii="宋体" w:hAnsi="宋体"/>
          <w:b/>
          <w:color w:val="000000" w:themeColor="text1"/>
          <w:sz w:val="24"/>
        </w:rPr>
      </w:pPr>
      <w:r>
        <w:rPr>
          <w:rFonts w:ascii="宋体" w:hAnsi="宋体"/>
          <w:b/>
          <w:color w:val="000000" w:themeColor="text1"/>
          <w:sz w:val="24"/>
        </w:rPr>
        <w:t>24.2</w:t>
      </w:r>
      <w:r>
        <w:rPr>
          <w:rFonts w:hint="eastAsia" w:ascii="宋体" w:hAnsi="宋体"/>
          <w:b/>
          <w:color w:val="000000" w:themeColor="text1"/>
          <w:sz w:val="24"/>
        </w:rPr>
        <w:t>地下水监测系统运行维护及水质监测评分标准（满分</w:t>
      </w:r>
      <w:r>
        <w:rPr>
          <w:rFonts w:ascii="宋体" w:hAnsi="宋体"/>
          <w:b/>
          <w:color w:val="000000" w:themeColor="text1"/>
          <w:sz w:val="24"/>
        </w:rPr>
        <w:t>100</w:t>
      </w:r>
      <w:r>
        <w:rPr>
          <w:rFonts w:hint="eastAsia" w:ascii="宋体" w:hAnsi="宋体"/>
          <w:b/>
          <w:color w:val="000000" w:themeColor="text1"/>
          <w:sz w:val="24"/>
        </w:rPr>
        <w:t>分）</w:t>
      </w:r>
      <w:r>
        <w:rPr>
          <w:rFonts w:ascii="宋体" w:hAnsi="宋体"/>
          <w:b/>
          <w:color w:val="000000" w:themeColor="text1"/>
          <w:sz w:val="24"/>
        </w:rPr>
        <w:tab/>
      </w:r>
    </w:p>
    <w:tbl>
      <w:tblPr>
        <w:tblStyle w:val="41"/>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szCs w:val="21"/>
              </w:rPr>
            </w:pPr>
            <w:r>
              <w:rPr>
                <w:rFonts w:ascii="宋体" w:hAnsi="宋体"/>
                <w:b/>
                <w:bCs/>
                <w:color w:val="000000"/>
                <w:szCs w:val="21"/>
              </w:rPr>
              <w:t>分类</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szCs w:val="21"/>
              </w:rPr>
            </w:pPr>
            <w:r>
              <w:rPr>
                <w:rFonts w:ascii="宋体" w:hAnsi="宋体"/>
                <w:b/>
                <w:bCs/>
                <w:color w:val="000000"/>
                <w:szCs w:val="21"/>
              </w:rPr>
              <w:t>评分项目</w:t>
            </w:r>
          </w:p>
        </w:tc>
        <w:tc>
          <w:tcPr>
            <w:tcW w:w="72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color w:val="000000"/>
                <w:szCs w:val="21"/>
              </w:rPr>
            </w:pPr>
            <w:r>
              <w:rPr>
                <w:rFonts w:ascii="宋体" w:hAnsi="宋体"/>
                <w:b/>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b/>
                <w:bCs/>
                <w:color w:val="000000"/>
                <w:szCs w:val="21"/>
              </w:rPr>
            </w:pPr>
            <w:r>
              <w:rPr>
                <w:rFonts w:ascii="宋体" w:hAnsi="宋体"/>
                <w:b/>
                <w:bCs/>
                <w:color w:val="000000"/>
                <w:szCs w:val="21"/>
              </w:rPr>
              <w:t>价格部分</w:t>
            </w:r>
            <w:r>
              <w:rPr>
                <w:rFonts w:hint="eastAsia" w:ascii="宋体" w:hAnsi="宋体"/>
                <w:b/>
                <w:bCs/>
                <w:color w:val="000000"/>
                <w:szCs w:val="21"/>
              </w:rPr>
              <w:t>（10</w:t>
            </w:r>
            <w:r>
              <w:rPr>
                <w:rFonts w:ascii="宋体" w:hAnsi="宋体"/>
                <w:b/>
                <w:bCs/>
                <w:color w:val="000000"/>
                <w:szCs w:val="21"/>
              </w:rPr>
              <w:t>分</w:t>
            </w:r>
            <w:r>
              <w:rPr>
                <w:rFonts w:hint="eastAsia" w:ascii="宋体" w:hAnsi="宋体"/>
                <w:b/>
                <w:bCs/>
                <w:color w:val="00000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b/>
                <w:bCs/>
                <w:color w:val="000000"/>
                <w:szCs w:val="21"/>
              </w:rPr>
            </w:pPr>
            <w:r>
              <w:rPr>
                <w:rFonts w:ascii="宋体" w:hAnsi="宋体"/>
                <w:color w:val="000000"/>
                <w:szCs w:val="21"/>
              </w:rPr>
              <w:t>投标报价得分</w:t>
            </w:r>
            <w:r>
              <w:rPr>
                <w:rFonts w:hint="eastAsia" w:ascii="宋体" w:hAnsi="宋体"/>
                <w:color w:val="000000"/>
                <w:szCs w:val="21"/>
              </w:rPr>
              <w:t>（10</w:t>
            </w:r>
            <w:r>
              <w:rPr>
                <w:rFonts w:ascii="宋体" w:hAnsi="宋体"/>
                <w:color w:val="000000"/>
                <w:szCs w:val="21"/>
              </w:rPr>
              <w:t>分</w:t>
            </w:r>
            <w:r>
              <w:rPr>
                <w:rFonts w:hint="eastAsia" w:ascii="宋体" w:hAnsi="宋体"/>
                <w:color w:val="000000"/>
                <w:szCs w:val="21"/>
              </w:rPr>
              <w:t>）</w:t>
            </w:r>
          </w:p>
        </w:tc>
        <w:tc>
          <w:tcPr>
            <w:tcW w:w="725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kern w:val="0"/>
                <w:szCs w:val="21"/>
              </w:rPr>
            </w:pPr>
            <w:r>
              <w:rPr>
                <w:rFonts w:hint="eastAsia" w:ascii="宋体" w:hAnsi="宋体"/>
                <w:kern w:val="0"/>
                <w:szCs w:val="21"/>
              </w:rPr>
              <w:t>1.</w:t>
            </w:r>
            <w:r>
              <w:rPr>
                <w:rFonts w:ascii="宋体" w:hAnsi="宋体"/>
                <w:kern w:val="0"/>
                <w:szCs w:val="21"/>
              </w:rPr>
              <w:t>评标基准价：</w:t>
            </w:r>
            <w:r>
              <w:rPr>
                <w:rFonts w:hint="eastAsia" w:ascii="宋体" w:hAnsi="宋体"/>
                <w:kern w:val="0"/>
                <w:szCs w:val="21"/>
              </w:rPr>
              <w:t>满足投标文件要求的各投标人报价中最低的投标报价。</w:t>
            </w:r>
          </w:p>
          <w:p>
            <w:pPr>
              <w:snapToGrid w:val="0"/>
              <w:spacing w:line="276" w:lineRule="auto"/>
              <w:rPr>
                <w:rFonts w:ascii="宋体" w:hAnsi="宋体"/>
                <w:kern w:val="0"/>
                <w:szCs w:val="21"/>
              </w:rPr>
            </w:pPr>
            <w:r>
              <w:rPr>
                <w:rFonts w:hint="eastAsia" w:ascii="宋体" w:hAnsi="宋体"/>
                <w:kern w:val="0"/>
                <w:szCs w:val="21"/>
              </w:rPr>
              <w:t>2.报价得分=10</w:t>
            </w:r>
            <w:r>
              <w:rPr>
                <w:rFonts w:ascii="Arial" w:hAnsi="Arial" w:cs="Arial"/>
                <w:kern w:val="0"/>
                <w:szCs w:val="21"/>
              </w:rPr>
              <w:t>×</w:t>
            </w:r>
            <w:r>
              <w:rPr>
                <w:rFonts w:hint="eastAsia" w:ascii="宋体" w:hAnsi="宋体"/>
                <w:kern w:val="0"/>
                <w:szCs w:val="21"/>
              </w:rPr>
              <w:t>（评标基准价/投标报价）</w:t>
            </w:r>
          </w:p>
          <w:p>
            <w:pPr>
              <w:snapToGrid w:val="0"/>
              <w:spacing w:line="276" w:lineRule="auto"/>
              <w:rPr>
                <w:rFonts w:ascii="宋体" w:hAnsi="宋体"/>
                <w:kern w:val="0"/>
                <w:szCs w:val="21"/>
              </w:rPr>
            </w:pPr>
            <w:r>
              <w:rPr>
                <w:rFonts w:hint="eastAsia" w:ascii="宋体" w:hAnsi="宋体"/>
                <w:kern w:val="0"/>
                <w:szCs w:val="21"/>
              </w:rPr>
              <w:t>3.投标报价得分保留两位小数。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jc w:val="center"/>
        </w:trPr>
        <w:tc>
          <w:tcPr>
            <w:tcW w:w="1242" w:type="dxa"/>
            <w:vMerge w:val="restart"/>
            <w:tcBorders>
              <w:top w:val="single" w:color="auto" w:sz="4" w:space="0"/>
              <w:left w:val="single" w:color="auto" w:sz="4" w:space="0"/>
              <w:right w:val="single" w:color="auto" w:sz="4" w:space="0"/>
            </w:tcBorders>
            <w:vAlign w:val="center"/>
          </w:tcPr>
          <w:p>
            <w:pPr>
              <w:spacing w:line="276" w:lineRule="auto"/>
              <w:jc w:val="left"/>
              <w:rPr>
                <w:rFonts w:ascii="宋体" w:hAnsi="宋体"/>
                <w:b/>
                <w:bCs/>
                <w:color w:val="000000"/>
                <w:szCs w:val="21"/>
              </w:rPr>
            </w:pPr>
            <w:r>
              <w:rPr>
                <w:rFonts w:ascii="宋体" w:hAnsi="宋体"/>
                <w:b/>
                <w:bCs/>
                <w:color w:val="000000"/>
                <w:szCs w:val="21"/>
              </w:rPr>
              <w:t>商务部分（</w:t>
            </w:r>
            <w:r>
              <w:rPr>
                <w:rFonts w:hint="eastAsia" w:ascii="宋体" w:hAnsi="宋体"/>
                <w:b/>
                <w:bCs/>
                <w:color w:val="000000"/>
                <w:szCs w:val="21"/>
              </w:rPr>
              <w:t>35</w:t>
            </w:r>
            <w:r>
              <w:rPr>
                <w:rFonts w:ascii="宋体" w:hAnsi="宋体"/>
                <w:b/>
                <w:bCs/>
                <w:color w:val="000000"/>
                <w:szCs w:val="21"/>
              </w:rPr>
              <w:t>分）</w:t>
            </w:r>
          </w:p>
        </w:tc>
        <w:tc>
          <w:tcPr>
            <w:tcW w:w="1134" w:type="dxa"/>
            <w:tcBorders>
              <w:top w:val="single" w:color="auto" w:sz="4" w:space="0"/>
              <w:left w:val="single" w:color="auto" w:sz="4" w:space="0"/>
              <w:right w:val="single" w:color="auto" w:sz="4" w:space="0"/>
            </w:tcBorders>
            <w:vAlign w:val="center"/>
          </w:tcPr>
          <w:p>
            <w:pPr>
              <w:spacing w:line="276" w:lineRule="auto"/>
              <w:jc w:val="left"/>
              <w:rPr>
                <w:rFonts w:ascii="宋体" w:hAnsi="宋体"/>
                <w:color w:val="000000"/>
                <w:szCs w:val="21"/>
              </w:rPr>
            </w:pPr>
            <w:r>
              <w:rPr>
                <w:rFonts w:ascii="宋体" w:hAnsi="宋体"/>
                <w:color w:val="000000"/>
                <w:szCs w:val="21"/>
              </w:rPr>
              <w:t>企业资质荣誉</w:t>
            </w:r>
            <w:r>
              <w:rPr>
                <w:rFonts w:hint="eastAsia" w:ascii="宋体" w:hAnsi="宋体"/>
                <w:color w:val="000000"/>
                <w:szCs w:val="21"/>
              </w:rPr>
              <w:t>及</w:t>
            </w:r>
            <w:r>
              <w:rPr>
                <w:rFonts w:ascii="宋体" w:hAnsi="宋体"/>
                <w:color w:val="000000"/>
                <w:szCs w:val="21"/>
              </w:rPr>
              <w:t>能力（17分）</w:t>
            </w:r>
          </w:p>
        </w:tc>
        <w:tc>
          <w:tcPr>
            <w:tcW w:w="725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olor w:val="000000" w:themeColor="text1"/>
                <w:kern w:val="0"/>
                <w:szCs w:val="21"/>
              </w:rPr>
            </w:pPr>
            <w:r>
              <w:rPr>
                <w:rFonts w:ascii="宋体" w:hAnsi="宋体"/>
                <w:b/>
                <w:bCs/>
                <w:color w:val="000000" w:themeColor="text1"/>
                <w:kern w:val="0"/>
                <w:szCs w:val="21"/>
              </w:rPr>
              <w:t>1、</w:t>
            </w:r>
            <w:r>
              <w:rPr>
                <w:rFonts w:hint="eastAsia" w:ascii="宋体" w:hAnsi="宋体"/>
                <w:color w:val="000000" w:themeColor="text1"/>
                <w:kern w:val="0"/>
                <w:szCs w:val="21"/>
              </w:rPr>
              <w:t>投标人具有有效期内的ISO9001质量管理体系认证证书、ISO14001环境管理体系认证证书、OHSAS18001（或 ISO14001）职业健康安全管理体系认证证书、ISO/IEC 20000信息技术服务管理体系认证证书、ISO27001信息安全管理体系认证证书、GB/T27922-2011《商品售后服务评价体系》五星级标准服务认证的得6分，每缺一项扣1分，扣完为止。</w:t>
            </w:r>
          </w:p>
          <w:p>
            <w:pPr>
              <w:pStyle w:val="2"/>
              <w:spacing w:line="276" w:lineRule="auto"/>
              <w:ind w:firstLine="0" w:firstLineChars="0"/>
              <w:rPr>
                <w:rFonts w:ascii="宋体" w:hAnsi="宋体" w:eastAsia="宋体"/>
                <w:bCs/>
                <w:color w:val="000000" w:themeColor="text1"/>
                <w:kern w:val="0"/>
                <w:sz w:val="21"/>
                <w:szCs w:val="21"/>
              </w:rPr>
            </w:pPr>
            <w:r>
              <w:rPr>
                <w:rFonts w:hint="eastAsia" w:ascii="宋体" w:hAnsi="宋体" w:eastAsia="宋体"/>
                <w:b/>
                <w:bCs/>
                <w:color w:val="000000" w:themeColor="text1"/>
                <w:kern w:val="0"/>
                <w:sz w:val="21"/>
                <w:szCs w:val="21"/>
              </w:rPr>
              <w:t>2</w:t>
            </w:r>
            <w:r>
              <w:rPr>
                <w:rFonts w:hint="eastAsia" w:ascii="宋体" w:hAnsi="宋体" w:eastAsia="宋体"/>
                <w:bCs/>
                <w:color w:val="000000" w:themeColor="text1"/>
                <w:kern w:val="0"/>
                <w:sz w:val="21"/>
                <w:szCs w:val="21"/>
              </w:rPr>
              <w:t>、投标人具有水文水资源调查评价证书且业务范围同时包含水文测报系统设计、实施和水资源调查评价甲级资质的得</w:t>
            </w:r>
            <w:r>
              <w:rPr>
                <w:rFonts w:ascii="宋体" w:hAnsi="宋体" w:eastAsia="宋体"/>
                <w:bCs/>
                <w:color w:val="000000" w:themeColor="text1"/>
                <w:kern w:val="0"/>
                <w:sz w:val="21"/>
                <w:szCs w:val="21"/>
              </w:rPr>
              <w:t>2</w:t>
            </w:r>
            <w:r>
              <w:rPr>
                <w:rFonts w:hint="eastAsia" w:ascii="宋体" w:hAnsi="宋体" w:eastAsia="宋体"/>
                <w:bCs/>
                <w:color w:val="000000" w:themeColor="text1"/>
                <w:kern w:val="0"/>
                <w:sz w:val="21"/>
                <w:szCs w:val="21"/>
              </w:rPr>
              <w:t>分，乙级资质的得</w:t>
            </w:r>
            <w:r>
              <w:rPr>
                <w:rFonts w:ascii="宋体" w:hAnsi="宋体" w:eastAsia="宋体"/>
                <w:bCs/>
                <w:color w:val="000000" w:themeColor="text1"/>
                <w:kern w:val="0"/>
                <w:sz w:val="21"/>
                <w:szCs w:val="21"/>
              </w:rPr>
              <w:t>1</w:t>
            </w:r>
            <w:r>
              <w:rPr>
                <w:rFonts w:hint="eastAsia" w:ascii="宋体" w:hAnsi="宋体" w:eastAsia="宋体"/>
                <w:bCs/>
                <w:color w:val="000000" w:themeColor="text1"/>
                <w:kern w:val="0"/>
                <w:sz w:val="21"/>
                <w:szCs w:val="21"/>
              </w:rPr>
              <w:t>分，否则不得分。</w:t>
            </w:r>
          </w:p>
          <w:p>
            <w:pPr>
              <w:pStyle w:val="2"/>
              <w:spacing w:line="276" w:lineRule="auto"/>
              <w:ind w:firstLine="0" w:firstLineChars="0"/>
              <w:rPr>
                <w:rFonts w:ascii="宋体" w:hAnsi="宋体" w:eastAsia="宋体"/>
                <w:bCs/>
                <w:color w:val="000000" w:themeColor="text1"/>
                <w:kern w:val="0"/>
                <w:sz w:val="21"/>
                <w:szCs w:val="21"/>
              </w:rPr>
            </w:pPr>
            <w:r>
              <w:rPr>
                <w:rFonts w:hint="eastAsia" w:ascii="宋体" w:hAnsi="宋体" w:eastAsia="宋体"/>
                <w:b/>
                <w:bCs/>
                <w:color w:val="000000" w:themeColor="text1"/>
                <w:kern w:val="0"/>
                <w:sz w:val="21"/>
                <w:szCs w:val="21"/>
              </w:rPr>
              <w:t>3</w:t>
            </w:r>
            <w:r>
              <w:rPr>
                <w:rFonts w:hint="eastAsia" w:ascii="宋体" w:hAnsi="宋体" w:eastAsia="宋体"/>
                <w:bCs/>
                <w:color w:val="000000" w:themeColor="text1"/>
                <w:kern w:val="0"/>
                <w:sz w:val="21"/>
                <w:szCs w:val="21"/>
              </w:rPr>
              <w:t>、投标人具有电子与智能化工程专业承包资质的得1分，投标人为国家级高新技术企业的得1分，否则不得分。</w:t>
            </w:r>
          </w:p>
          <w:p>
            <w:pPr>
              <w:pStyle w:val="2"/>
              <w:spacing w:line="276" w:lineRule="auto"/>
              <w:ind w:firstLine="0" w:firstLineChars="0"/>
              <w:rPr>
                <w:rFonts w:ascii="宋体" w:hAnsi="宋体" w:eastAsia="宋体"/>
                <w:bCs/>
                <w:color w:val="000000" w:themeColor="text1"/>
                <w:kern w:val="0"/>
                <w:sz w:val="21"/>
                <w:szCs w:val="21"/>
              </w:rPr>
            </w:pPr>
            <w:r>
              <w:rPr>
                <w:rFonts w:hint="eastAsia" w:ascii="宋体" w:hAnsi="宋体" w:eastAsia="宋体"/>
                <w:b/>
                <w:bCs/>
                <w:color w:val="000000" w:themeColor="text1"/>
                <w:kern w:val="0"/>
                <w:sz w:val="21"/>
                <w:szCs w:val="21"/>
              </w:rPr>
              <w:t>4、</w:t>
            </w:r>
            <w:r>
              <w:rPr>
                <w:rFonts w:hint="eastAsia" w:ascii="宋体" w:hAnsi="宋体" w:eastAsia="宋体"/>
                <w:bCs/>
                <w:color w:val="000000" w:themeColor="text1"/>
                <w:kern w:val="0"/>
                <w:sz w:val="21"/>
                <w:szCs w:val="21"/>
              </w:rPr>
              <w:t>投标人获得过政府部门或国内依法登记注册的协会（学会）颁发的水利科学技术奖，一等奖的得</w:t>
            </w:r>
            <w:r>
              <w:rPr>
                <w:rFonts w:ascii="宋体" w:hAnsi="宋体" w:eastAsia="宋体"/>
                <w:bCs/>
                <w:color w:val="000000" w:themeColor="text1"/>
                <w:kern w:val="0"/>
                <w:sz w:val="21"/>
                <w:szCs w:val="21"/>
              </w:rPr>
              <w:t>2</w:t>
            </w:r>
            <w:r>
              <w:rPr>
                <w:rFonts w:hint="eastAsia" w:ascii="宋体" w:hAnsi="宋体" w:eastAsia="宋体"/>
                <w:bCs/>
                <w:color w:val="000000" w:themeColor="text1"/>
                <w:kern w:val="0"/>
                <w:sz w:val="21"/>
                <w:szCs w:val="21"/>
              </w:rPr>
              <w:t>分，二、三等奖得1分，本项最多得2分，投标人提供多个不同等别奖项仅按最高奖项得分1次，未提供的不得分。</w:t>
            </w:r>
          </w:p>
          <w:p>
            <w:pPr>
              <w:pStyle w:val="2"/>
              <w:spacing w:line="276" w:lineRule="auto"/>
              <w:ind w:firstLine="0" w:firstLineChars="0"/>
              <w:rPr>
                <w:rFonts w:ascii="宋体" w:hAnsi="宋体" w:eastAsia="宋体"/>
                <w:bCs/>
                <w:color w:val="000000" w:themeColor="text1"/>
                <w:kern w:val="0"/>
                <w:sz w:val="21"/>
                <w:szCs w:val="21"/>
              </w:rPr>
            </w:pPr>
            <w:r>
              <w:rPr>
                <w:rFonts w:ascii="宋体" w:hAnsi="宋体" w:eastAsia="宋体"/>
                <w:b/>
                <w:bCs/>
                <w:color w:val="000000" w:themeColor="text1"/>
                <w:kern w:val="0"/>
                <w:sz w:val="21"/>
                <w:szCs w:val="21"/>
              </w:rPr>
              <w:t>5</w:t>
            </w:r>
            <w:r>
              <w:rPr>
                <w:rFonts w:hint="eastAsia" w:ascii="宋体" w:hAnsi="宋体" w:eastAsia="宋体"/>
                <w:b/>
                <w:bCs/>
                <w:color w:val="000000" w:themeColor="text1"/>
                <w:kern w:val="0"/>
                <w:sz w:val="21"/>
                <w:szCs w:val="21"/>
              </w:rPr>
              <w:t>、</w:t>
            </w:r>
            <w:r>
              <w:rPr>
                <w:rFonts w:hint="eastAsia" w:ascii="宋体" w:hAnsi="宋体" w:eastAsia="宋体"/>
                <w:bCs/>
                <w:color w:val="000000" w:themeColor="text1"/>
                <w:kern w:val="0"/>
                <w:sz w:val="21"/>
                <w:szCs w:val="21"/>
              </w:rPr>
              <w:t>2015年1月1日以来投标人参加国家认证认可监督管理委员会、水利部、生态环境部（原环境保护部）组织的满足本项目监测参数范围内的水质监测参数的能力验证考核，取得满意结果的累计不重复项目数达到10个的得1分，每超过1个加1分；低于10个不得分。本项最多5分。</w:t>
            </w:r>
          </w:p>
          <w:p>
            <w:pPr>
              <w:pStyle w:val="2"/>
              <w:spacing w:line="276" w:lineRule="auto"/>
              <w:ind w:firstLine="0" w:firstLineChars="0"/>
              <w:rPr>
                <w:color w:val="000000" w:themeColor="text1"/>
                <w:sz w:val="21"/>
                <w:szCs w:val="21"/>
              </w:rPr>
            </w:pPr>
            <w:r>
              <w:rPr>
                <w:rFonts w:ascii="宋体" w:hAnsi="宋体" w:eastAsia="宋体"/>
                <w:bCs/>
                <w:color w:val="000000" w:themeColor="text1"/>
                <w:kern w:val="0"/>
                <w:sz w:val="21"/>
                <w:szCs w:val="21"/>
              </w:rPr>
              <w:t>注</w:t>
            </w:r>
            <w:r>
              <w:rPr>
                <w:rFonts w:hint="eastAsia" w:ascii="宋体" w:hAnsi="宋体" w:eastAsia="宋体"/>
                <w:bCs/>
                <w:color w:val="000000" w:themeColor="text1"/>
                <w:kern w:val="0"/>
                <w:sz w:val="21"/>
                <w:szCs w:val="21"/>
              </w:rPr>
              <w:t>：</w:t>
            </w:r>
            <w:r>
              <w:rPr>
                <w:rFonts w:ascii="宋体" w:hAnsi="宋体" w:eastAsia="宋体"/>
                <w:bCs/>
                <w:color w:val="000000" w:themeColor="text1"/>
                <w:kern w:val="0"/>
                <w:sz w:val="21"/>
                <w:szCs w:val="21"/>
              </w:rPr>
              <w:t>提供相关证书</w:t>
            </w:r>
            <w:r>
              <w:rPr>
                <w:rFonts w:hint="eastAsia" w:ascii="宋体" w:hAnsi="宋体" w:eastAsia="宋体"/>
                <w:bCs/>
                <w:color w:val="000000" w:themeColor="text1"/>
                <w:kern w:val="0"/>
                <w:sz w:val="21"/>
                <w:szCs w:val="21"/>
              </w:rPr>
              <w:t>、</w:t>
            </w:r>
            <w:r>
              <w:rPr>
                <w:rFonts w:ascii="宋体" w:hAnsi="宋体" w:eastAsia="宋体"/>
                <w:bCs/>
                <w:color w:val="000000" w:themeColor="text1"/>
                <w:kern w:val="0"/>
                <w:sz w:val="21"/>
                <w:szCs w:val="21"/>
              </w:rPr>
              <w:t>资质</w:t>
            </w:r>
            <w:r>
              <w:rPr>
                <w:rFonts w:hint="eastAsia" w:ascii="宋体" w:hAnsi="宋体" w:eastAsia="宋体"/>
                <w:bCs/>
                <w:color w:val="000000" w:themeColor="text1"/>
                <w:kern w:val="0"/>
                <w:sz w:val="21"/>
                <w:szCs w:val="21"/>
              </w:rPr>
              <w:t>、</w:t>
            </w:r>
            <w:r>
              <w:rPr>
                <w:rFonts w:ascii="宋体" w:hAnsi="宋体" w:eastAsia="宋体"/>
                <w:bCs/>
                <w:color w:val="000000" w:themeColor="text1"/>
                <w:kern w:val="0"/>
                <w:sz w:val="21"/>
                <w:szCs w:val="21"/>
              </w:rPr>
              <w:t>奖项证书</w:t>
            </w:r>
            <w:r>
              <w:rPr>
                <w:rFonts w:hint="eastAsia" w:ascii="宋体" w:hAnsi="宋体" w:eastAsia="宋体"/>
                <w:bCs/>
                <w:color w:val="000000" w:themeColor="text1"/>
                <w:kern w:val="0"/>
                <w:sz w:val="21"/>
                <w:szCs w:val="21"/>
              </w:rPr>
              <w:t>、</w:t>
            </w:r>
            <w:r>
              <w:rPr>
                <w:rFonts w:ascii="宋体" w:hAnsi="宋体" w:eastAsia="宋体"/>
                <w:bCs/>
                <w:color w:val="000000" w:themeColor="text1"/>
                <w:kern w:val="0"/>
                <w:sz w:val="21"/>
                <w:szCs w:val="21"/>
              </w:rPr>
              <w:t>考核证书的复印件</w:t>
            </w:r>
            <w:r>
              <w:rPr>
                <w:rFonts w:hint="eastAsia" w:ascii="宋体" w:hAnsi="宋体" w:eastAsia="宋体"/>
                <w:bCs/>
                <w:color w:val="000000" w:themeColor="text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2" w:hRule="atLeast"/>
          <w:jc w:val="center"/>
        </w:trPr>
        <w:tc>
          <w:tcPr>
            <w:tcW w:w="1242" w:type="dxa"/>
            <w:vMerge w:val="continue"/>
            <w:tcBorders>
              <w:left w:val="single" w:color="auto" w:sz="4" w:space="0"/>
              <w:right w:val="single" w:color="auto" w:sz="4" w:space="0"/>
            </w:tcBorders>
            <w:vAlign w:val="center"/>
          </w:tcPr>
          <w:p>
            <w:pPr>
              <w:spacing w:line="276" w:lineRule="auto"/>
              <w:rPr>
                <w:rFonts w:ascii="宋体" w:hAnsi="宋体"/>
                <w:b/>
                <w:bCs/>
                <w:color w:val="000000"/>
                <w:szCs w:val="21"/>
              </w:rPr>
            </w:pPr>
          </w:p>
        </w:tc>
        <w:tc>
          <w:tcPr>
            <w:tcW w:w="1134" w:type="dxa"/>
            <w:tcBorders>
              <w:left w:val="single" w:color="auto" w:sz="4" w:space="0"/>
              <w:right w:val="single" w:color="auto" w:sz="4" w:space="0"/>
            </w:tcBorders>
            <w:vAlign w:val="center"/>
          </w:tcPr>
          <w:p>
            <w:pPr>
              <w:spacing w:line="276" w:lineRule="auto"/>
              <w:jc w:val="left"/>
              <w:rPr>
                <w:rFonts w:ascii="宋体" w:hAnsi="宋体"/>
                <w:color w:val="000000"/>
                <w:szCs w:val="21"/>
              </w:rPr>
            </w:pPr>
            <w:r>
              <w:rPr>
                <w:rFonts w:ascii="宋体" w:hAnsi="宋体"/>
                <w:kern w:val="0"/>
                <w:szCs w:val="21"/>
              </w:rPr>
              <w:t>投标人业绩（1</w:t>
            </w:r>
            <w:r>
              <w:rPr>
                <w:rFonts w:hint="eastAsia" w:ascii="宋体" w:hAnsi="宋体"/>
                <w:kern w:val="0"/>
                <w:szCs w:val="21"/>
              </w:rPr>
              <w:t>8</w:t>
            </w:r>
            <w:r>
              <w:rPr>
                <w:rFonts w:ascii="宋体" w:hAnsi="宋体"/>
                <w:kern w:val="0"/>
                <w:szCs w:val="21"/>
              </w:rPr>
              <w:t>分）</w:t>
            </w:r>
          </w:p>
        </w:tc>
        <w:tc>
          <w:tcPr>
            <w:tcW w:w="7253" w:type="dxa"/>
            <w:tcBorders>
              <w:top w:val="single" w:color="auto" w:sz="4" w:space="0"/>
              <w:left w:val="single" w:color="auto" w:sz="4" w:space="0"/>
              <w:right w:val="single" w:color="auto" w:sz="4" w:space="0"/>
            </w:tcBorders>
            <w:vAlign w:val="center"/>
          </w:tcPr>
          <w:p>
            <w:pPr>
              <w:spacing w:line="276" w:lineRule="auto"/>
              <w:rPr>
                <w:rFonts w:ascii="宋体" w:hAnsi="宋体"/>
                <w:color w:val="000000" w:themeColor="text1"/>
                <w:kern w:val="0"/>
                <w:szCs w:val="21"/>
              </w:rPr>
            </w:pPr>
            <w:r>
              <w:rPr>
                <w:rFonts w:hint="eastAsia" w:ascii="宋体" w:hAnsi="宋体"/>
                <w:b/>
                <w:color w:val="000000" w:themeColor="text1"/>
                <w:kern w:val="0"/>
                <w:szCs w:val="21"/>
              </w:rPr>
              <w:t>1、</w:t>
            </w:r>
            <w:r>
              <w:rPr>
                <w:rFonts w:hint="eastAsia" w:ascii="宋体" w:hAnsi="宋体"/>
                <w:color w:val="000000" w:themeColor="text1"/>
                <w:kern w:val="0"/>
                <w:szCs w:val="21"/>
              </w:rPr>
              <w:t>近5年（2015 年 1 月起至今）投标人承担过地下水建设项目或地下水运行维护项目的得</w:t>
            </w:r>
            <w:r>
              <w:rPr>
                <w:rFonts w:ascii="宋体" w:hAnsi="宋体"/>
                <w:color w:val="000000" w:themeColor="text1"/>
                <w:kern w:val="0"/>
                <w:szCs w:val="21"/>
              </w:rPr>
              <w:t>2</w:t>
            </w:r>
            <w:r>
              <w:rPr>
                <w:rFonts w:hint="eastAsia" w:ascii="宋体" w:hAnsi="宋体"/>
                <w:color w:val="000000" w:themeColor="text1"/>
                <w:kern w:val="0"/>
                <w:szCs w:val="21"/>
              </w:rPr>
              <w:t>分。</w:t>
            </w:r>
          </w:p>
          <w:p>
            <w:pPr>
              <w:spacing w:line="276" w:lineRule="auto"/>
              <w:rPr>
                <w:rFonts w:ascii="宋体" w:hAnsi="宋体"/>
                <w:color w:val="000000" w:themeColor="text1"/>
                <w:kern w:val="0"/>
                <w:szCs w:val="21"/>
              </w:rPr>
            </w:pPr>
            <w:r>
              <w:rPr>
                <w:rFonts w:hint="eastAsia" w:ascii="宋体" w:hAnsi="宋体"/>
                <w:b/>
                <w:color w:val="000000" w:themeColor="text1"/>
                <w:kern w:val="0"/>
                <w:szCs w:val="21"/>
              </w:rPr>
              <w:t>2、</w:t>
            </w:r>
            <w:r>
              <w:rPr>
                <w:rFonts w:hint="eastAsia" w:ascii="宋体" w:hAnsi="宋体"/>
                <w:color w:val="000000" w:themeColor="text1"/>
                <w:kern w:val="0"/>
                <w:szCs w:val="21"/>
              </w:rPr>
              <w:t>近5年（2015 年 1 月起至今）投标人承担过其他类型水情遥测站仪器设备购置与安装或维护项目的得2分；</w:t>
            </w:r>
          </w:p>
          <w:p>
            <w:pPr>
              <w:spacing w:line="276" w:lineRule="auto"/>
              <w:rPr>
                <w:rFonts w:ascii="宋体" w:hAnsi="宋体"/>
                <w:color w:val="000000" w:themeColor="text1"/>
                <w:kern w:val="0"/>
                <w:szCs w:val="21"/>
              </w:rPr>
            </w:pPr>
            <w:r>
              <w:rPr>
                <w:rFonts w:ascii="宋体" w:hAnsi="宋体"/>
                <w:b/>
                <w:color w:val="000000" w:themeColor="text1"/>
                <w:kern w:val="0"/>
                <w:szCs w:val="21"/>
              </w:rPr>
              <w:t>3</w:t>
            </w:r>
            <w:r>
              <w:rPr>
                <w:rFonts w:hint="eastAsia" w:ascii="宋体" w:hAnsi="宋体"/>
                <w:b/>
                <w:color w:val="000000" w:themeColor="text1"/>
                <w:kern w:val="0"/>
                <w:szCs w:val="21"/>
              </w:rPr>
              <w:t>、</w:t>
            </w:r>
            <w:r>
              <w:rPr>
                <w:rFonts w:hint="eastAsia" w:ascii="宋体" w:hAnsi="宋体"/>
                <w:color w:val="000000" w:themeColor="text1"/>
                <w:kern w:val="0"/>
                <w:szCs w:val="21"/>
              </w:rPr>
              <w:t>近5年（2015 年 1 月起至今）投标人具有地下水水质检测项目相关业绩的，合同金额大于100万元，每个合同得2分，最多得4分。（须提供合同复印件加盖公章）。</w:t>
            </w:r>
          </w:p>
          <w:p>
            <w:pPr>
              <w:spacing w:line="276" w:lineRule="auto"/>
              <w:rPr>
                <w:rFonts w:ascii="宋体" w:hAnsi="宋体"/>
                <w:color w:val="000000" w:themeColor="text1"/>
                <w:kern w:val="0"/>
                <w:szCs w:val="21"/>
              </w:rPr>
            </w:pPr>
            <w:r>
              <w:rPr>
                <w:rFonts w:ascii="宋体" w:hAnsi="宋体"/>
                <w:b/>
                <w:color w:val="000000" w:themeColor="text1"/>
                <w:kern w:val="0"/>
                <w:szCs w:val="21"/>
              </w:rPr>
              <w:t>4</w:t>
            </w:r>
            <w:r>
              <w:rPr>
                <w:rFonts w:hint="eastAsia" w:ascii="宋体" w:hAnsi="宋体"/>
                <w:b/>
                <w:color w:val="000000" w:themeColor="text1"/>
                <w:kern w:val="0"/>
                <w:szCs w:val="21"/>
              </w:rPr>
              <w:t>、</w:t>
            </w:r>
            <w:r>
              <w:rPr>
                <w:rFonts w:hint="eastAsia" w:ascii="宋体" w:hAnsi="宋体"/>
                <w:color w:val="000000" w:themeColor="text1"/>
                <w:kern w:val="0"/>
                <w:szCs w:val="21"/>
              </w:rPr>
              <w:t>近5年（2015 年 1 月起至今）投标人参与地下水相关的调查与评估政府采购项目或水利工程水环境监测工作，每个合同得1分，最多得4分。（须提供合同复印件加盖公章）。</w:t>
            </w:r>
          </w:p>
          <w:p>
            <w:pPr>
              <w:spacing w:line="276" w:lineRule="auto"/>
              <w:rPr>
                <w:rFonts w:ascii="宋体" w:hAnsi="宋体"/>
                <w:color w:val="000000" w:themeColor="text1"/>
                <w:kern w:val="0"/>
                <w:szCs w:val="21"/>
              </w:rPr>
            </w:pPr>
            <w:r>
              <w:rPr>
                <w:rFonts w:ascii="宋体" w:hAnsi="宋体"/>
                <w:b/>
                <w:color w:val="000000" w:themeColor="text1"/>
                <w:kern w:val="0"/>
                <w:szCs w:val="21"/>
              </w:rPr>
              <w:t>5</w:t>
            </w:r>
            <w:r>
              <w:rPr>
                <w:rFonts w:hint="eastAsia" w:ascii="宋体" w:hAnsi="宋体"/>
                <w:b/>
                <w:color w:val="000000" w:themeColor="text1"/>
                <w:kern w:val="0"/>
                <w:szCs w:val="21"/>
              </w:rPr>
              <w:t>、</w:t>
            </w:r>
            <w:r>
              <w:rPr>
                <w:rFonts w:hint="eastAsia" w:ascii="宋体" w:hAnsi="宋体"/>
                <w:color w:val="000000" w:themeColor="text1"/>
                <w:kern w:val="0"/>
                <w:szCs w:val="21"/>
              </w:rPr>
              <w:t>近5年（2015 年 1 月起至今）投标人参加过国家地下水监测工程（水利部分）地下水水质监测相关技术服务的，每有一项得1分，最多得6分，（须提供合同复印件加盖公章）。</w:t>
            </w:r>
          </w:p>
          <w:p>
            <w:pPr>
              <w:spacing w:line="276" w:lineRule="auto"/>
              <w:rPr>
                <w:rFonts w:ascii="宋体" w:hAnsi="宋体"/>
                <w:color w:val="000000" w:themeColor="text1"/>
                <w:szCs w:val="21"/>
              </w:rPr>
            </w:pPr>
            <w:r>
              <w:rPr>
                <w:rFonts w:hint="eastAsia" w:ascii="宋体" w:hAnsi="宋体"/>
                <w:color w:val="000000" w:themeColor="text1"/>
                <w:kern w:val="0"/>
                <w:szCs w:val="21"/>
              </w:rPr>
              <w:t>特别说明：业绩案例以提供的合同为准，要求必须提供与最终用户签订的合同复印件材料，所有案例，须提供合同复印件加盖公章。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1242" w:type="dxa"/>
            <w:vMerge w:val="restart"/>
            <w:tcBorders>
              <w:left w:val="single" w:color="auto" w:sz="4" w:space="0"/>
              <w:right w:val="single" w:color="auto" w:sz="4" w:space="0"/>
            </w:tcBorders>
            <w:vAlign w:val="center"/>
          </w:tcPr>
          <w:p>
            <w:pPr>
              <w:spacing w:line="276" w:lineRule="auto"/>
              <w:jc w:val="left"/>
              <w:rPr>
                <w:rFonts w:ascii="宋体" w:hAnsi="宋体"/>
                <w:b/>
                <w:bCs/>
                <w:color w:val="000000" w:themeColor="text1"/>
                <w:szCs w:val="21"/>
              </w:rPr>
            </w:pPr>
            <w:r>
              <w:rPr>
                <w:rFonts w:ascii="宋体" w:hAnsi="宋体"/>
                <w:b/>
                <w:bCs/>
                <w:color w:val="000000" w:themeColor="text1"/>
                <w:szCs w:val="21"/>
              </w:rPr>
              <w:t>技术部分（</w:t>
            </w:r>
            <w:r>
              <w:rPr>
                <w:rFonts w:hint="eastAsia" w:ascii="宋体" w:hAnsi="宋体"/>
                <w:b/>
                <w:bCs/>
                <w:color w:val="000000" w:themeColor="text1"/>
                <w:szCs w:val="21"/>
              </w:rPr>
              <w:t>55</w:t>
            </w:r>
            <w:r>
              <w:rPr>
                <w:rFonts w:ascii="宋体" w:hAnsi="宋体"/>
                <w:b/>
                <w:bCs/>
                <w:color w:val="000000" w:themeColor="text1"/>
                <w:szCs w:val="21"/>
              </w:rPr>
              <w:t>分）</w:t>
            </w:r>
          </w:p>
        </w:tc>
        <w:tc>
          <w:tcPr>
            <w:tcW w:w="1134" w:type="dxa"/>
            <w:tcBorders>
              <w:left w:val="single" w:color="auto" w:sz="4" w:space="0"/>
              <w:right w:val="single" w:color="auto" w:sz="4" w:space="0"/>
            </w:tcBorders>
            <w:vAlign w:val="center"/>
          </w:tcPr>
          <w:p>
            <w:pPr>
              <w:spacing w:line="276" w:lineRule="auto"/>
              <w:jc w:val="left"/>
              <w:rPr>
                <w:rFonts w:ascii="宋体" w:hAnsi="宋体"/>
                <w:color w:val="000000" w:themeColor="text1"/>
                <w:szCs w:val="21"/>
              </w:rPr>
            </w:pPr>
            <w:r>
              <w:rPr>
                <w:rFonts w:hint="eastAsia" w:ascii="宋体" w:hAnsi="宋体"/>
                <w:color w:val="000000" w:themeColor="text1"/>
                <w:kern w:val="0"/>
                <w:szCs w:val="21"/>
              </w:rPr>
              <w:t>地下水监测系统运行维护实施方案（1</w:t>
            </w:r>
            <w:r>
              <w:rPr>
                <w:rFonts w:ascii="宋体" w:hAnsi="宋体"/>
                <w:color w:val="000000" w:themeColor="text1"/>
                <w:kern w:val="0"/>
                <w:szCs w:val="21"/>
              </w:rPr>
              <w:t>3分</w:t>
            </w:r>
            <w:r>
              <w:rPr>
                <w:rFonts w:hint="eastAsia" w:ascii="宋体" w:hAnsi="宋体"/>
                <w:color w:val="000000" w:themeColor="text1"/>
                <w:kern w:val="0"/>
                <w:szCs w:val="21"/>
              </w:rPr>
              <w:t>）</w:t>
            </w:r>
          </w:p>
        </w:tc>
        <w:tc>
          <w:tcPr>
            <w:tcW w:w="72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olor w:val="000000" w:themeColor="text1"/>
                <w:kern w:val="0"/>
                <w:szCs w:val="21"/>
              </w:rPr>
            </w:pPr>
            <w:r>
              <w:rPr>
                <w:rFonts w:hint="eastAsia" w:ascii="宋体" w:hAnsi="宋体"/>
                <w:b/>
                <w:color w:val="000000" w:themeColor="text1"/>
                <w:kern w:val="0"/>
                <w:szCs w:val="21"/>
              </w:rPr>
              <w:t>1、</w:t>
            </w:r>
            <w:r>
              <w:rPr>
                <w:rFonts w:hint="eastAsia" w:ascii="宋体" w:hAnsi="宋体"/>
                <w:color w:val="000000" w:themeColor="text1"/>
                <w:kern w:val="0"/>
                <w:szCs w:val="21"/>
              </w:rPr>
              <w:t>运维实施方案合理，思路清晰，运行维护的具体方法具有良好的可行性得</w:t>
            </w:r>
            <w:r>
              <w:rPr>
                <w:rFonts w:ascii="宋体" w:hAnsi="宋体"/>
                <w:color w:val="000000" w:themeColor="text1"/>
                <w:kern w:val="0"/>
                <w:szCs w:val="21"/>
              </w:rPr>
              <w:t>5-6</w:t>
            </w:r>
            <w:r>
              <w:rPr>
                <w:rFonts w:hint="eastAsia" w:ascii="宋体" w:hAnsi="宋体"/>
                <w:color w:val="000000" w:themeColor="text1"/>
                <w:kern w:val="0"/>
                <w:szCs w:val="21"/>
              </w:rPr>
              <w:t>分；项目实施方案较合理，思路较清晰，具有一定的可行性得</w:t>
            </w:r>
            <w:r>
              <w:rPr>
                <w:rFonts w:ascii="宋体" w:hAnsi="宋体"/>
                <w:color w:val="000000" w:themeColor="text1"/>
                <w:kern w:val="0"/>
                <w:szCs w:val="21"/>
              </w:rPr>
              <w:t>3-4</w:t>
            </w:r>
            <w:r>
              <w:rPr>
                <w:rFonts w:hint="eastAsia" w:ascii="宋体" w:hAnsi="宋体"/>
                <w:color w:val="000000" w:themeColor="text1"/>
                <w:kern w:val="0"/>
                <w:szCs w:val="21"/>
              </w:rPr>
              <w:t>分；实施方案不尽合理，可行性不高得</w:t>
            </w:r>
            <w:r>
              <w:rPr>
                <w:rFonts w:ascii="宋体" w:hAnsi="宋体"/>
                <w:color w:val="000000" w:themeColor="text1"/>
                <w:kern w:val="0"/>
                <w:szCs w:val="21"/>
              </w:rPr>
              <w:t>1-2</w:t>
            </w:r>
            <w:r>
              <w:rPr>
                <w:rFonts w:hint="eastAsia" w:ascii="宋体" w:hAnsi="宋体"/>
                <w:color w:val="000000" w:themeColor="text1"/>
                <w:kern w:val="0"/>
                <w:szCs w:val="21"/>
              </w:rPr>
              <w:t>分；本项最多得</w:t>
            </w:r>
            <w:r>
              <w:rPr>
                <w:rFonts w:ascii="宋体" w:hAnsi="宋体"/>
                <w:color w:val="000000" w:themeColor="text1"/>
                <w:kern w:val="0"/>
                <w:szCs w:val="21"/>
              </w:rPr>
              <w:t>6</w:t>
            </w:r>
            <w:r>
              <w:rPr>
                <w:rFonts w:hint="eastAsia" w:ascii="宋体" w:hAnsi="宋体"/>
                <w:color w:val="000000" w:themeColor="text1"/>
                <w:kern w:val="0"/>
                <w:szCs w:val="21"/>
              </w:rPr>
              <w:t>分。</w:t>
            </w:r>
          </w:p>
          <w:p>
            <w:pPr>
              <w:spacing w:line="276" w:lineRule="auto"/>
              <w:rPr>
                <w:rFonts w:ascii="宋体" w:hAnsi="宋体"/>
                <w:color w:val="000000" w:themeColor="text1"/>
                <w:kern w:val="0"/>
                <w:szCs w:val="21"/>
              </w:rPr>
            </w:pPr>
            <w:r>
              <w:rPr>
                <w:rFonts w:ascii="宋体" w:hAnsi="宋体"/>
                <w:b/>
                <w:color w:val="000000" w:themeColor="text1"/>
                <w:kern w:val="0"/>
                <w:szCs w:val="21"/>
              </w:rPr>
              <w:t>2</w:t>
            </w:r>
            <w:r>
              <w:rPr>
                <w:rFonts w:hint="eastAsia" w:ascii="宋体" w:hAnsi="宋体"/>
                <w:b/>
                <w:color w:val="000000" w:themeColor="text1"/>
                <w:kern w:val="0"/>
                <w:szCs w:val="21"/>
              </w:rPr>
              <w:t>、</w:t>
            </w:r>
            <w:r>
              <w:rPr>
                <w:rFonts w:hint="eastAsia" w:ascii="宋体" w:hAnsi="宋体"/>
                <w:color w:val="000000" w:themeColor="text1"/>
                <w:kern w:val="0"/>
                <w:szCs w:val="21"/>
              </w:rPr>
              <w:t>质量管理体系方案清晰、全面、合理，对运维质量重视程度很高，明确具体责任人及责任范围，并提供保证措施的得</w:t>
            </w:r>
            <w:r>
              <w:rPr>
                <w:rFonts w:ascii="宋体" w:hAnsi="宋体"/>
                <w:color w:val="000000" w:themeColor="text1"/>
                <w:kern w:val="0"/>
                <w:szCs w:val="21"/>
              </w:rPr>
              <w:t>4-5</w:t>
            </w:r>
            <w:r>
              <w:rPr>
                <w:rFonts w:hint="eastAsia" w:ascii="宋体" w:hAnsi="宋体"/>
                <w:color w:val="000000" w:themeColor="text1"/>
                <w:kern w:val="0"/>
                <w:szCs w:val="21"/>
              </w:rPr>
              <w:t>分；能够提供较为完整的质量管理体系方案，对运维质量重视程度较高，未明确具体责任人及行为责任，但能够提供保证措施的得</w:t>
            </w:r>
            <w:r>
              <w:rPr>
                <w:rFonts w:ascii="宋体" w:hAnsi="宋体"/>
                <w:color w:val="000000" w:themeColor="text1"/>
                <w:kern w:val="0"/>
                <w:szCs w:val="21"/>
              </w:rPr>
              <w:t>2-3</w:t>
            </w:r>
            <w:r>
              <w:rPr>
                <w:rFonts w:hint="eastAsia" w:ascii="宋体" w:hAnsi="宋体"/>
                <w:color w:val="000000" w:themeColor="text1"/>
                <w:kern w:val="0"/>
                <w:szCs w:val="21"/>
              </w:rPr>
              <w:t>分；提供质量管理体系方案不合理、责任人及范围不够明确、保障措施不尽完善的得</w:t>
            </w:r>
            <w:r>
              <w:rPr>
                <w:rFonts w:ascii="宋体" w:hAnsi="宋体"/>
                <w:color w:val="000000" w:themeColor="text1"/>
                <w:kern w:val="0"/>
                <w:szCs w:val="21"/>
              </w:rPr>
              <w:t>1</w:t>
            </w:r>
            <w:r>
              <w:rPr>
                <w:rFonts w:hint="eastAsia" w:ascii="宋体" w:hAnsi="宋体"/>
                <w:color w:val="000000" w:themeColor="text1"/>
                <w:kern w:val="0"/>
                <w:szCs w:val="21"/>
              </w:rPr>
              <w:t>分；本项最多得</w:t>
            </w:r>
            <w:r>
              <w:rPr>
                <w:rFonts w:ascii="宋体" w:hAnsi="宋体"/>
                <w:color w:val="000000" w:themeColor="text1"/>
                <w:kern w:val="0"/>
                <w:szCs w:val="21"/>
              </w:rPr>
              <w:t>5</w:t>
            </w:r>
            <w:r>
              <w:rPr>
                <w:rFonts w:hint="eastAsia" w:ascii="宋体" w:hAnsi="宋体"/>
                <w:color w:val="000000" w:themeColor="text1"/>
                <w:kern w:val="0"/>
                <w:szCs w:val="21"/>
              </w:rPr>
              <w:t>分。</w:t>
            </w:r>
          </w:p>
          <w:p>
            <w:pPr>
              <w:spacing w:line="276" w:lineRule="auto"/>
              <w:rPr>
                <w:rFonts w:ascii="宋体" w:hAnsi="宋体"/>
                <w:color w:val="000000" w:themeColor="text1"/>
                <w:szCs w:val="21"/>
              </w:rPr>
            </w:pPr>
            <w:r>
              <w:rPr>
                <w:rFonts w:hint="eastAsia" w:ascii="宋体" w:hAnsi="宋体"/>
                <w:b/>
                <w:color w:val="000000" w:themeColor="text1"/>
                <w:kern w:val="0"/>
                <w:szCs w:val="21"/>
              </w:rPr>
              <w:t>3、</w:t>
            </w:r>
            <w:r>
              <w:rPr>
                <w:rFonts w:hint="eastAsia" w:ascii="宋体" w:hAnsi="宋体"/>
                <w:color w:val="000000" w:themeColor="text1"/>
                <w:kern w:val="0"/>
                <w:szCs w:val="21"/>
              </w:rPr>
              <w:t>能够提供完整、合理的安全生产管理制度，组织安全生产培训，安全生产责明确的得2分；能够提供基本的安全生产管理制度得 1分；未提供完整的安全生产制度不得分，本项最多得2分。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jc w:val="center"/>
        </w:trPr>
        <w:tc>
          <w:tcPr>
            <w:tcW w:w="1242" w:type="dxa"/>
            <w:vMerge w:val="continue"/>
            <w:tcBorders>
              <w:left w:val="single" w:color="auto" w:sz="4" w:space="0"/>
              <w:right w:val="single" w:color="auto" w:sz="4" w:space="0"/>
            </w:tcBorders>
            <w:vAlign w:val="center"/>
          </w:tcPr>
          <w:p>
            <w:pPr>
              <w:widowControl/>
              <w:spacing w:line="276" w:lineRule="auto"/>
              <w:jc w:val="left"/>
              <w:rPr>
                <w:rFonts w:ascii="宋体" w:hAnsi="宋体"/>
                <w:b/>
                <w:bCs/>
                <w:color w:val="000000" w:themeColor="text1"/>
                <w:szCs w:val="21"/>
              </w:rPr>
            </w:pPr>
          </w:p>
        </w:tc>
        <w:tc>
          <w:tcPr>
            <w:tcW w:w="1134" w:type="dxa"/>
            <w:tcBorders>
              <w:top w:val="single" w:color="auto" w:sz="4" w:space="0"/>
              <w:left w:val="single" w:color="auto" w:sz="4" w:space="0"/>
              <w:right w:val="single" w:color="auto" w:sz="4" w:space="0"/>
            </w:tcBorders>
            <w:vAlign w:val="center"/>
          </w:tcPr>
          <w:p>
            <w:pPr>
              <w:spacing w:line="276" w:lineRule="auto"/>
              <w:jc w:val="left"/>
              <w:rPr>
                <w:rFonts w:ascii="宋体" w:hAnsi="宋体"/>
                <w:color w:val="000000" w:themeColor="text1"/>
                <w:szCs w:val="21"/>
              </w:rPr>
            </w:pPr>
            <w:r>
              <w:rPr>
                <w:rFonts w:hint="eastAsia" w:ascii="宋体" w:hAnsi="宋体"/>
                <w:color w:val="000000" w:themeColor="text1"/>
                <w:kern w:val="0"/>
                <w:szCs w:val="21"/>
              </w:rPr>
              <w:t>地下水水质监测实施方案</w:t>
            </w:r>
            <w:r>
              <w:rPr>
                <w:rFonts w:ascii="宋体" w:hAnsi="宋体"/>
                <w:color w:val="000000" w:themeColor="text1"/>
                <w:kern w:val="0"/>
                <w:szCs w:val="21"/>
              </w:rPr>
              <w:t>（</w:t>
            </w:r>
            <w:r>
              <w:rPr>
                <w:rFonts w:hint="eastAsia" w:ascii="宋体" w:hAnsi="宋体"/>
                <w:color w:val="000000" w:themeColor="text1"/>
                <w:kern w:val="0"/>
                <w:szCs w:val="21"/>
              </w:rPr>
              <w:t>1</w:t>
            </w:r>
            <w:r>
              <w:rPr>
                <w:rFonts w:ascii="宋体" w:hAnsi="宋体"/>
                <w:color w:val="000000" w:themeColor="text1"/>
                <w:kern w:val="0"/>
                <w:szCs w:val="21"/>
              </w:rPr>
              <w:t>3</w:t>
            </w:r>
            <w:r>
              <w:rPr>
                <w:rFonts w:hint="eastAsia" w:ascii="宋体" w:hAnsi="宋体"/>
                <w:color w:val="000000" w:themeColor="text1"/>
                <w:kern w:val="0"/>
                <w:szCs w:val="21"/>
              </w:rPr>
              <w:t>分</w:t>
            </w:r>
            <w:r>
              <w:rPr>
                <w:rFonts w:ascii="宋体" w:hAnsi="宋体"/>
                <w:color w:val="000000" w:themeColor="text1"/>
                <w:kern w:val="0"/>
                <w:szCs w:val="21"/>
              </w:rPr>
              <w:t>）</w:t>
            </w:r>
          </w:p>
        </w:tc>
        <w:tc>
          <w:tcPr>
            <w:tcW w:w="7253" w:type="dxa"/>
            <w:tcBorders>
              <w:top w:val="single" w:color="auto" w:sz="4" w:space="0"/>
              <w:left w:val="single" w:color="auto" w:sz="4" w:space="0"/>
              <w:right w:val="single" w:color="auto" w:sz="4" w:space="0"/>
            </w:tcBorders>
            <w:vAlign w:val="center"/>
          </w:tcPr>
          <w:p>
            <w:pPr>
              <w:spacing w:line="276" w:lineRule="auto"/>
              <w:rPr>
                <w:rFonts w:ascii="宋体" w:hAnsi="宋体"/>
                <w:color w:val="000000" w:themeColor="text1"/>
                <w:kern w:val="0"/>
                <w:szCs w:val="21"/>
              </w:rPr>
            </w:pPr>
            <w:r>
              <w:rPr>
                <w:rFonts w:hint="eastAsia" w:ascii="宋体" w:hAnsi="宋体"/>
                <w:b/>
                <w:color w:val="000000" w:themeColor="text1"/>
                <w:kern w:val="0"/>
                <w:szCs w:val="21"/>
              </w:rPr>
              <w:t>1、</w:t>
            </w:r>
            <w:r>
              <w:rPr>
                <w:rFonts w:hint="eastAsia" w:ascii="宋体" w:hAnsi="宋体"/>
                <w:color w:val="000000" w:themeColor="text1"/>
                <w:kern w:val="0"/>
                <w:szCs w:val="21"/>
              </w:rPr>
              <w:t>项目实施方案合理，思路清晰，监测的具体方法具有良好的可行性得</w:t>
            </w:r>
            <w:r>
              <w:rPr>
                <w:rFonts w:ascii="宋体" w:hAnsi="宋体"/>
                <w:color w:val="000000" w:themeColor="text1"/>
                <w:kern w:val="0"/>
                <w:szCs w:val="21"/>
              </w:rPr>
              <w:t>5-6</w:t>
            </w:r>
            <w:r>
              <w:rPr>
                <w:rFonts w:hint="eastAsia" w:ascii="宋体" w:hAnsi="宋体"/>
                <w:color w:val="000000" w:themeColor="text1"/>
                <w:kern w:val="0"/>
                <w:szCs w:val="21"/>
              </w:rPr>
              <w:t>分；项目实施方案较合理，思路较清晰，具有一定的可行性得</w:t>
            </w:r>
            <w:r>
              <w:rPr>
                <w:rFonts w:ascii="宋体" w:hAnsi="宋体"/>
                <w:color w:val="000000" w:themeColor="text1"/>
                <w:kern w:val="0"/>
                <w:szCs w:val="21"/>
              </w:rPr>
              <w:t>3-4</w:t>
            </w:r>
            <w:r>
              <w:rPr>
                <w:rFonts w:hint="eastAsia" w:ascii="宋体" w:hAnsi="宋体"/>
                <w:color w:val="000000" w:themeColor="text1"/>
                <w:kern w:val="0"/>
                <w:szCs w:val="21"/>
              </w:rPr>
              <w:t>分；实施方案不尽合理，可行性不高得</w:t>
            </w:r>
            <w:r>
              <w:rPr>
                <w:rFonts w:ascii="宋体" w:hAnsi="宋体"/>
                <w:color w:val="000000" w:themeColor="text1"/>
                <w:kern w:val="0"/>
                <w:szCs w:val="21"/>
              </w:rPr>
              <w:t>1-2</w:t>
            </w:r>
            <w:r>
              <w:rPr>
                <w:rFonts w:hint="eastAsia" w:ascii="宋体" w:hAnsi="宋体"/>
                <w:color w:val="000000" w:themeColor="text1"/>
                <w:kern w:val="0"/>
                <w:szCs w:val="21"/>
              </w:rPr>
              <w:t>分。本项最多得</w:t>
            </w:r>
            <w:r>
              <w:rPr>
                <w:rFonts w:ascii="宋体" w:hAnsi="宋体"/>
                <w:color w:val="000000" w:themeColor="text1"/>
                <w:kern w:val="0"/>
                <w:szCs w:val="21"/>
              </w:rPr>
              <w:t>6</w:t>
            </w:r>
            <w:r>
              <w:rPr>
                <w:rFonts w:hint="eastAsia" w:ascii="宋体" w:hAnsi="宋体"/>
                <w:color w:val="000000" w:themeColor="text1"/>
                <w:kern w:val="0"/>
                <w:szCs w:val="21"/>
              </w:rPr>
              <w:t>分。</w:t>
            </w:r>
          </w:p>
          <w:p>
            <w:pPr>
              <w:spacing w:line="276" w:lineRule="auto"/>
              <w:rPr>
                <w:rFonts w:ascii="宋体" w:hAnsi="宋体"/>
                <w:color w:val="000000" w:themeColor="text1"/>
                <w:kern w:val="0"/>
                <w:szCs w:val="21"/>
              </w:rPr>
            </w:pPr>
            <w:r>
              <w:rPr>
                <w:rFonts w:hint="eastAsia" w:ascii="宋体" w:hAnsi="宋体"/>
                <w:b/>
                <w:color w:val="000000" w:themeColor="text1"/>
                <w:kern w:val="0"/>
                <w:szCs w:val="21"/>
              </w:rPr>
              <w:t>2、</w:t>
            </w:r>
            <w:r>
              <w:rPr>
                <w:rFonts w:hint="eastAsia" w:ascii="宋体" w:hAnsi="宋体"/>
                <w:color w:val="000000" w:themeColor="text1"/>
                <w:kern w:val="0"/>
                <w:szCs w:val="21"/>
              </w:rPr>
              <w:t>项目技术路线的合理性，对监测实施后续服务的范围和时限等情况，合理得</w:t>
            </w:r>
            <w:r>
              <w:rPr>
                <w:rFonts w:ascii="宋体" w:hAnsi="宋体"/>
                <w:color w:val="000000" w:themeColor="text1"/>
                <w:kern w:val="0"/>
                <w:szCs w:val="21"/>
              </w:rPr>
              <w:t>4-5</w:t>
            </w:r>
            <w:r>
              <w:rPr>
                <w:rFonts w:hint="eastAsia" w:ascii="宋体" w:hAnsi="宋体"/>
                <w:color w:val="000000" w:themeColor="text1"/>
                <w:kern w:val="0"/>
                <w:szCs w:val="21"/>
              </w:rPr>
              <w:t>分；基本合理得</w:t>
            </w:r>
            <w:r>
              <w:rPr>
                <w:rFonts w:ascii="宋体" w:hAnsi="宋体"/>
                <w:color w:val="000000" w:themeColor="text1"/>
                <w:kern w:val="0"/>
                <w:szCs w:val="21"/>
              </w:rPr>
              <w:t>2-3</w:t>
            </w:r>
            <w:r>
              <w:rPr>
                <w:rFonts w:hint="eastAsia" w:ascii="宋体" w:hAnsi="宋体"/>
                <w:color w:val="000000" w:themeColor="text1"/>
                <w:kern w:val="0"/>
                <w:szCs w:val="21"/>
              </w:rPr>
              <w:t>分；不尽合理得</w:t>
            </w:r>
            <w:r>
              <w:rPr>
                <w:rFonts w:ascii="宋体" w:hAnsi="宋体"/>
                <w:color w:val="000000" w:themeColor="text1"/>
                <w:kern w:val="0"/>
                <w:szCs w:val="21"/>
              </w:rPr>
              <w:t>1</w:t>
            </w:r>
            <w:r>
              <w:rPr>
                <w:rFonts w:hint="eastAsia" w:ascii="宋体" w:hAnsi="宋体"/>
                <w:color w:val="000000" w:themeColor="text1"/>
                <w:kern w:val="0"/>
                <w:szCs w:val="21"/>
              </w:rPr>
              <w:t>分。本项最多得</w:t>
            </w:r>
            <w:r>
              <w:rPr>
                <w:rFonts w:ascii="宋体" w:hAnsi="宋体"/>
                <w:color w:val="000000" w:themeColor="text1"/>
                <w:kern w:val="0"/>
                <w:szCs w:val="21"/>
              </w:rPr>
              <w:t>5</w:t>
            </w:r>
            <w:r>
              <w:rPr>
                <w:rFonts w:hint="eastAsia" w:ascii="宋体" w:hAnsi="宋体"/>
                <w:color w:val="000000" w:themeColor="text1"/>
                <w:kern w:val="0"/>
                <w:szCs w:val="21"/>
              </w:rPr>
              <w:t>分。</w:t>
            </w:r>
          </w:p>
          <w:p>
            <w:pPr>
              <w:spacing w:line="276" w:lineRule="auto"/>
              <w:rPr>
                <w:rFonts w:ascii="宋体" w:hAnsi="宋体"/>
                <w:color w:val="000000" w:themeColor="text1"/>
                <w:kern w:val="0"/>
                <w:szCs w:val="21"/>
              </w:rPr>
            </w:pPr>
            <w:r>
              <w:rPr>
                <w:rFonts w:hint="eastAsia" w:ascii="宋体" w:hAnsi="宋体"/>
                <w:b/>
                <w:color w:val="000000" w:themeColor="text1"/>
                <w:kern w:val="0"/>
                <w:szCs w:val="21"/>
              </w:rPr>
              <w:t>3、</w:t>
            </w:r>
            <w:r>
              <w:rPr>
                <w:rFonts w:hint="eastAsia" w:ascii="宋体" w:hAnsi="宋体"/>
                <w:color w:val="000000" w:themeColor="text1"/>
                <w:kern w:val="0"/>
                <w:szCs w:val="21"/>
              </w:rPr>
              <w:t>实验室应急预案，合理得2分；基本合理得1分；不合理不得分。本项最多得2分。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1242" w:type="dxa"/>
            <w:vMerge w:val="continue"/>
            <w:tcBorders>
              <w:left w:val="single" w:color="auto" w:sz="4" w:space="0"/>
              <w:right w:val="single" w:color="auto" w:sz="4" w:space="0"/>
            </w:tcBorders>
            <w:vAlign w:val="center"/>
          </w:tcPr>
          <w:p>
            <w:pPr>
              <w:widowControl/>
              <w:spacing w:line="276" w:lineRule="auto"/>
              <w:jc w:val="left"/>
              <w:rPr>
                <w:rFonts w:ascii="宋体" w:hAnsi="宋体"/>
                <w:b/>
                <w:bCs/>
                <w:color w:val="000000" w:themeColor="text1"/>
                <w:szCs w:val="21"/>
              </w:rPr>
            </w:pPr>
          </w:p>
        </w:tc>
        <w:tc>
          <w:tcPr>
            <w:tcW w:w="1134" w:type="dxa"/>
            <w:tcBorders>
              <w:top w:val="single" w:color="auto" w:sz="4" w:space="0"/>
              <w:left w:val="single" w:color="auto" w:sz="4" w:space="0"/>
              <w:right w:val="single" w:color="auto" w:sz="4" w:space="0"/>
            </w:tcBorders>
            <w:vAlign w:val="center"/>
          </w:tcPr>
          <w:p>
            <w:pPr>
              <w:widowControl/>
              <w:snapToGrid w:val="0"/>
              <w:spacing w:line="276" w:lineRule="auto"/>
              <w:jc w:val="left"/>
              <w:rPr>
                <w:rFonts w:ascii="宋体" w:hAnsi="宋体"/>
                <w:color w:val="000000" w:themeColor="text1"/>
                <w:kern w:val="0"/>
                <w:szCs w:val="21"/>
              </w:rPr>
            </w:pPr>
            <w:r>
              <w:rPr>
                <w:rFonts w:ascii="宋体" w:hAnsi="宋体"/>
                <w:color w:val="000000" w:themeColor="text1"/>
                <w:kern w:val="0"/>
                <w:szCs w:val="21"/>
              </w:rPr>
              <w:t>水质监测设备保证（</w:t>
            </w:r>
            <w:r>
              <w:rPr>
                <w:rFonts w:hint="eastAsia" w:ascii="宋体" w:hAnsi="宋体"/>
                <w:color w:val="000000" w:themeColor="text1"/>
                <w:kern w:val="0"/>
                <w:szCs w:val="21"/>
              </w:rPr>
              <w:t>6</w:t>
            </w:r>
            <w:r>
              <w:rPr>
                <w:rFonts w:ascii="宋体" w:hAnsi="宋体"/>
                <w:color w:val="000000" w:themeColor="text1"/>
                <w:kern w:val="0"/>
                <w:szCs w:val="21"/>
              </w:rPr>
              <w:t>分）</w:t>
            </w:r>
          </w:p>
        </w:tc>
        <w:tc>
          <w:tcPr>
            <w:tcW w:w="7253" w:type="dxa"/>
            <w:tcBorders>
              <w:top w:val="single" w:color="auto" w:sz="4" w:space="0"/>
              <w:left w:val="single" w:color="auto" w:sz="4" w:space="0"/>
              <w:right w:val="single" w:color="auto" w:sz="4" w:space="0"/>
            </w:tcBorders>
            <w:vAlign w:val="center"/>
          </w:tcPr>
          <w:p>
            <w:pPr>
              <w:spacing w:line="276" w:lineRule="auto"/>
              <w:rPr>
                <w:rFonts w:ascii="宋体" w:hAnsi="宋体"/>
                <w:color w:val="000000" w:themeColor="text1"/>
                <w:kern w:val="0"/>
                <w:szCs w:val="21"/>
              </w:rPr>
            </w:pPr>
            <w:r>
              <w:rPr>
                <w:rFonts w:hint="eastAsia" w:ascii="宋体" w:hAnsi="宋体"/>
                <w:color w:val="000000" w:themeColor="text1"/>
                <w:kern w:val="0"/>
                <w:szCs w:val="21"/>
              </w:rPr>
              <w:t>投标单位具有电感耦合等离子体质谱仪、气相色谱质谱联用仪、液相色谱仪及低本底αβ放射性测量仪（或更高级检测设备）的全部4种得6分；仅具有以上检测设备中的3种得2分；少于3种检测设备的不得分。本项最多6分。（须提供相应设备检定或校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242" w:type="dxa"/>
            <w:vMerge w:val="continue"/>
            <w:tcBorders>
              <w:left w:val="single" w:color="auto" w:sz="4" w:space="0"/>
              <w:right w:val="single" w:color="auto" w:sz="4" w:space="0"/>
            </w:tcBorders>
            <w:vAlign w:val="center"/>
          </w:tcPr>
          <w:p>
            <w:pPr>
              <w:widowControl/>
              <w:spacing w:line="276" w:lineRule="auto"/>
              <w:jc w:val="left"/>
              <w:rPr>
                <w:rFonts w:ascii="宋体" w:hAnsi="宋体"/>
                <w:b/>
                <w:bCs/>
                <w:color w:val="000000" w:themeColor="text1"/>
                <w:szCs w:val="21"/>
              </w:rPr>
            </w:pPr>
          </w:p>
        </w:tc>
        <w:tc>
          <w:tcPr>
            <w:tcW w:w="1134" w:type="dxa"/>
            <w:tcBorders>
              <w:left w:val="single" w:color="auto" w:sz="4" w:space="0"/>
              <w:right w:val="single" w:color="auto" w:sz="4" w:space="0"/>
            </w:tcBorders>
            <w:vAlign w:val="center"/>
          </w:tcPr>
          <w:p>
            <w:pPr>
              <w:spacing w:line="276" w:lineRule="auto"/>
              <w:rPr>
                <w:rFonts w:ascii="宋体" w:hAnsi="宋体"/>
                <w:b/>
                <w:bCs/>
                <w:color w:val="000000" w:themeColor="text1"/>
                <w:szCs w:val="21"/>
              </w:rPr>
            </w:pPr>
            <w:r>
              <w:rPr>
                <w:rFonts w:ascii="宋体" w:hAnsi="宋体"/>
                <w:color w:val="000000" w:themeColor="text1"/>
                <w:kern w:val="0"/>
                <w:szCs w:val="21"/>
              </w:rPr>
              <w:t>人员配备</w:t>
            </w:r>
            <w:r>
              <w:rPr>
                <w:rFonts w:ascii="宋体" w:hAnsi="宋体"/>
                <w:color w:val="000000" w:themeColor="text1"/>
                <w:szCs w:val="21"/>
              </w:rPr>
              <w:t>（</w:t>
            </w:r>
            <w:r>
              <w:rPr>
                <w:rFonts w:hint="eastAsia" w:ascii="宋体" w:hAnsi="宋体"/>
                <w:color w:val="000000" w:themeColor="text1"/>
                <w:szCs w:val="21"/>
              </w:rPr>
              <w:t>15</w:t>
            </w:r>
            <w:r>
              <w:rPr>
                <w:rFonts w:ascii="宋体" w:hAnsi="宋体"/>
                <w:color w:val="000000" w:themeColor="text1"/>
                <w:szCs w:val="21"/>
              </w:rPr>
              <w:t>分）</w:t>
            </w:r>
          </w:p>
        </w:tc>
        <w:tc>
          <w:tcPr>
            <w:tcW w:w="7253" w:type="dxa"/>
            <w:tcBorders>
              <w:top w:val="single" w:color="auto" w:sz="4" w:space="0"/>
              <w:left w:val="single" w:color="auto" w:sz="4" w:space="0"/>
              <w:right w:val="single" w:color="auto" w:sz="4" w:space="0"/>
            </w:tcBorders>
            <w:vAlign w:val="center"/>
          </w:tcPr>
          <w:p>
            <w:pPr>
              <w:widowControl/>
              <w:snapToGrid w:val="0"/>
              <w:spacing w:line="276" w:lineRule="auto"/>
              <w:jc w:val="left"/>
              <w:rPr>
                <w:rFonts w:ascii="宋体" w:hAnsi="宋体"/>
                <w:color w:val="000000" w:themeColor="text1"/>
                <w:kern w:val="0"/>
                <w:szCs w:val="21"/>
              </w:rPr>
            </w:pPr>
            <w:r>
              <w:rPr>
                <w:rFonts w:hint="eastAsia" w:ascii="宋体" w:hAnsi="宋体"/>
                <w:b/>
                <w:color w:val="000000" w:themeColor="text1"/>
                <w:kern w:val="0"/>
                <w:szCs w:val="21"/>
              </w:rPr>
              <w:t>1、</w:t>
            </w:r>
            <w:r>
              <w:rPr>
                <w:rFonts w:hint="eastAsia" w:ascii="宋体" w:hAnsi="宋体"/>
                <w:color w:val="000000" w:themeColor="text1"/>
                <w:szCs w:val="21"/>
              </w:rPr>
              <w:t>运行维护</w:t>
            </w:r>
            <w:r>
              <w:rPr>
                <w:rFonts w:ascii="宋体" w:hAnsi="宋体"/>
                <w:color w:val="000000" w:themeColor="text1"/>
                <w:szCs w:val="21"/>
              </w:rPr>
              <w:t>技术负责人具</w:t>
            </w:r>
            <w:r>
              <w:rPr>
                <w:rFonts w:hint="eastAsia" w:ascii="宋体" w:hAnsi="宋体"/>
                <w:color w:val="000000" w:themeColor="text1"/>
                <w:szCs w:val="21"/>
              </w:rPr>
              <w:t>高级工程师及以上技术职称的得</w:t>
            </w:r>
            <w:r>
              <w:rPr>
                <w:rFonts w:ascii="宋体" w:hAnsi="宋体"/>
                <w:color w:val="000000" w:themeColor="text1"/>
                <w:szCs w:val="21"/>
              </w:rPr>
              <w:t>2</w:t>
            </w:r>
            <w:r>
              <w:rPr>
                <w:rFonts w:hint="eastAsia" w:ascii="宋体" w:hAnsi="宋体"/>
                <w:color w:val="000000" w:themeColor="text1"/>
                <w:szCs w:val="21"/>
              </w:rPr>
              <w:t>分，中级职称得1分；参加过地下水自动监测站项目建设或运行维护者得</w:t>
            </w:r>
            <w:r>
              <w:rPr>
                <w:rFonts w:ascii="宋体" w:hAnsi="宋体"/>
                <w:color w:val="000000" w:themeColor="text1"/>
                <w:szCs w:val="21"/>
              </w:rPr>
              <w:t>1</w:t>
            </w:r>
            <w:r>
              <w:rPr>
                <w:rFonts w:hint="eastAsia" w:ascii="宋体" w:hAnsi="宋体"/>
                <w:color w:val="000000" w:themeColor="text1"/>
                <w:szCs w:val="21"/>
              </w:rPr>
              <w:t>分。地下水水质监测项目负责人或技术负责人具有高级工程师及以上技术职称的得</w:t>
            </w:r>
            <w:r>
              <w:rPr>
                <w:rFonts w:ascii="宋体" w:hAnsi="宋体"/>
                <w:color w:val="000000" w:themeColor="text1"/>
                <w:szCs w:val="21"/>
              </w:rPr>
              <w:t>2</w:t>
            </w:r>
            <w:r>
              <w:rPr>
                <w:rFonts w:hint="eastAsia" w:ascii="宋体" w:hAnsi="宋体"/>
                <w:color w:val="000000" w:themeColor="text1"/>
                <w:szCs w:val="21"/>
              </w:rPr>
              <w:t>分，中级职称得1分；参加过地下水水质检测项目者得</w:t>
            </w:r>
            <w:r>
              <w:rPr>
                <w:rFonts w:ascii="宋体" w:hAnsi="宋体"/>
                <w:color w:val="000000" w:themeColor="text1"/>
                <w:szCs w:val="21"/>
              </w:rPr>
              <w:t>1</w:t>
            </w:r>
            <w:r>
              <w:rPr>
                <w:rFonts w:hint="eastAsia" w:ascii="宋体" w:hAnsi="宋体"/>
                <w:color w:val="000000" w:themeColor="text1"/>
                <w:szCs w:val="21"/>
              </w:rPr>
              <w:t>分。本项最多得6分。</w:t>
            </w:r>
          </w:p>
          <w:p>
            <w:pPr>
              <w:widowControl/>
              <w:snapToGrid w:val="0"/>
              <w:spacing w:line="276" w:lineRule="auto"/>
              <w:jc w:val="left"/>
              <w:rPr>
                <w:rFonts w:ascii="宋体" w:hAnsi="宋体"/>
                <w:color w:val="000000" w:themeColor="text1"/>
                <w:szCs w:val="21"/>
              </w:rPr>
            </w:pPr>
            <w:r>
              <w:rPr>
                <w:rFonts w:hint="eastAsia" w:ascii="宋体" w:hAnsi="宋体"/>
                <w:b/>
                <w:color w:val="000000" w:themeColor="text1"/>
                <w:kern w:val="0"/>
                <w:szCs w:val="21"/>
              </w:rPr>
              <w:t>2、</w:t>
            </w:r>
            <w:r>
              <w:rPr>
                <w:rFonts w:hint="eastAsia" w:ascii="宋体" w:hAnsi="宋体"/>
                <w:color w:val="000000" w:themeColor="text1"/>
                <w:szCs w:val="21"/>
              </w:rPr>
              <w:t>运行维护技术人员中有参加过地下水自动监测站项目建设或运行维护者</w:t>
            </w:r>
            <w:r>
              <w:rPr>
                <w:rFonts w:ascii="宋体" w:hAnsi="宋体"/>
                <w:color w:val="000000" w:themeColor="text1"/>
                <w:szCs w:val="21"/>
              </w:rPr>
              <w:t>3</w:t>
            </w:r>
            <w:r>
              <w:rPr>
                <w:rFonts w:hint="eastAsia" w:ascii="宋体" w:hAnsi="宋体"/>
                <w:color w:val="000000" w:themeColor="text1"/>
                <w:szCs w:val="21"/>
              </w:rPr>
              <w:t>名以上的得2分，</w:t>
            </w:r>
            <w:r>
              <w:rPr>
                <w:rFonts w:ascii="宋体" w:hAnsi="宋体"/>
                <w:color w:val="000000" w:themeColor="text1"/>
                <w:szCs w:val="21"/>
              </w:rPr>
              <w:t>3</w:t>
            </w:r>
            <w:r>
              <w:rPr>
                <w:rFonts w:hint="eastAsia" w:ascii="宋体" w:hAnsi="宋体"/>
                <w:color w:val="000000" w:themeColor="text1"/>
                <w:szCs w:val="21"/>
              </w:rPr>
              <w:t>名及以下的得1分。本项最多得2分。</w:t>
            </w:r>
          </w:p>
          <w:p>
            <w:pPr>
              <w:widowControl/>
              <w:snapToGrid w:val="0"/>
              <w:spacing w:line="276" w:lineRule="auto"/>
              <w:jc w:val="left"/>
              <w:rPr>
                <w:rFonts w:ascii="宋体" w:hAnsi="宋体"/>
                <w:color w:val="000000" w:themeColor="text1"/>
                <w:kern w:val="0"/>
                <w:szCs w:val="21"/>
              </w:rPr>
            </w:pPr>
            <w:r>
              <w:rPr>
                <w:rFonts w:hint="eastAsia" w:ascii="宋体" w:hAnsi="宋体"/>
                <w:b/>
                <w:color w:val="000000" w:themeColor="text1"/>
                <w:szCs w:val="21"/>
              </w:rPr>
              <w:t>3、</w:t>
            </w:r>
            <w:r>
              <w:rPr>
                <w:rFonts w:hint="eastAsia" w:ascii="宋体" w:hAnsi="宋体"/>
                <w:color w:val="000000" w:themeColor="text1"/>
                <w:szCs w:val="21"/>
              </w:rPr>
              <w:t>地下水水质监测人员专业结构合理，配备的化验人员数量满足工作需要且人数不少于15人，得2分；化验人员参加过水质监测能力考核，并且全部取得有效期内的上岗证书，得2分；具有中级及以上职称化验人员比例高于(含)40%，得1分；高于(含)60%，得2分；高于(含)80%，得3分；本项最多得</w:t>
            </w:r>
            <w:r>
              <w:rPr>
                <w:rFonts w:hint="eastAsia" w:ascii="宋体" w:hAnsi="宋体"/>
                <w:color w:val="000000" w:themeColor="text1"/>
                <w:kern w:val="0"/>
                <w:szCs w:val="21"/>
              </w:rPr>
              <w:t>7</w:t>
            </w:r>
            <w:r>
              <w:rPr>
                <w:rFonts w:ascii="宋体" w:hAnsi="宋体"/>
                <w:color w:val="000000" w:themeColor="text1"/>
                <w:kern w:val="0"/>
                <w:szCs w:val="21"/>
              </w:rPr>
              <w:t>分</w:t>
            </w:r>
            <w:r>
              <w:rPr>
                <w:rFonts w:hint="eastAsia" w:ascii="宋体" w:hAnsi="宋体"/>
                <w:color w:val="000000" w:themeColor="text1"/>
                <w:kern w:val="0"/>
                <w:szCs w:val="21"/>
              </w:rPr>
              <w:t>。</w:t>
            </w:r>
          </w:p>
          <w:p>
            <w:pPr>
              <w:widowControl/>
              <w:snapToGrid w:val="0"/>
              <w:spacing w:line="276" w:lineRule="auto"/>
              <w:rPr>
                <w:rFonts w:ascii="宋体" w:hAnsi="宋体"/>
                <w:color w:val="000000" w:themeColor="text1"/>
                <w:szCs w:val="21"/>
              </w:rPr>
            </w:pPr>
            <w:r>
              <w:rPr>
                <w:rFonts w:ascii="宋体" w:hAnsi="宋体"/>
                <w:b/>
                <w:color w:val="000000" w:themeColor="text1"/>
                <w:kern w:val="0"/>
                <w:szCs w:val="21"/>
              </w:rPr>
              <w:t>注</w:t>
            </w:r>
            <w:r>
              <w:rPr>
                <w:rFonts w:hint="eastAsia" w:ascii="宋体" w:hAnsi="宋体"/>
                <w:b/>
                <w:color w:val="000000" w:themeColor="text1"/>
                <w:kern w:val="0"/>
                <w:szCs w:val="21"/>
              </w:rPr>
              <w:t>：</w:t>
            </w:r>
            <w:r>
              <w:rPr>
                <w:rFonts w:hint="eastAsia" w:ascii="宋体" w:hAnsi="宋体"/>
                <w:color w:val="000000" w:themeColor="text1"/>
                <w:kern w:val="0"/>
                <w:szCs w:val="21"/>
              </w:rPr>
              <w:t>人员</w:t>
            </w:r>
            <w:r>
              <w:rPr>
                <w:rFonts w:ascii="宋体" w:hAnsi="宋体"/>
                <w:color w:val="000000" w:themeColor="text1"/>
                <w:kern w:val="0"/>
                <w:szCs w:val="21"/>
              </w:rPr>
              <w:t>配备</w:t>
            </w:r>
            <w:r>
              <w:rPr>
                <w:rFonts w:ascii="宋体" w:hAnsi="宋体"/>
                <w:color w:val="000000" w:themeColor="text1"/>
                <w:szCs w:val="21"/>
              </w:rPr>
              <w:t>最高得</w:t>
            </w:r>
            <w:r>
              <w:rPr>
                <w:rFonts w:hint="eastAsia" w:ascii="宋体" w:hAnsi="宋体"/>
                <w:color w:val="000000" w:themeColor="text1"/>
                <w:szCs w:val="21"/>
              </w:rPr>
              <w:t>15分，运行维护和水质监测技术负责人可不为同一人，人员须提供社保证明、相关职称证明材料、上岗证书等复印件，业绩须提供合同复印件或业主单位开具的证明文件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1242" w:type="dxa"/>
            <w:vMerge w:val="continue"/>
            <w:tcBorders>
              <w:left w:val="single" w:color="auto" w:sz="4" w:space="0"/>
              <w:right w:val="single" w:color="auto" w:sz="4" w:space="0"/>
            </w:tcBorders>
            <w:vAlign w:val="center"/>
          </w:tcPr>
          <w:p>
            <w:pPr>
              <w:spacing w:line="276" w:lineRule="auto"/>
              <w:rPr>
                <w:rFonts w:ascii="宋体" w:hAnsi="宋体"/>
                <w:b/>
                <w:bCs/>
                <w:color w:val="000000" w:themeColor="text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olor w:val="000000" w:themeColor="text1"/>
                <w:szCs w:val="21"/>
              </w:rPr>
            </w:pPr>
            <w:r>
              <w:rPr>
                <w:rFonts w:ascii="宋体" w:hAnsi="宋体"/>
                <w:color w:val="000000" w:themeColor="text1"/>
                <w:kern w:val="0"/>
                <w:szCs w:val="21"/>
              </w:rPr>
              <w:t>水质</w:t>
            </w:r>
            <w:r>
              <w:rPr>
                <w:rFonts w:hint="eastAsia" w:ascii="宋体" w:hAnsi="宋体"/>
                <w:color w:val="000000" w:themeColor="text1"/>
                <w:kern w:val="0"/>
                <w:szCs w:val="21"/>
              </w:rPr>
              <w:t>监</w:t>
            </w:r>
            <w:r>
              <w:rPr>
                <w:rFonts w:ascii="宋体" w:hAnsi="宋体"/>
                <w:color w:val="000000" w:themeColor="text1"/>
                <w:kern w:val="0"/>
                <w:szCs w:val="21"/>
              </w:rPr>
              <w:t>测质量控制措施</w:t>
            </w:r>
            <w:r>
              <w:rPr>
                <w:rFonts w:ascii="宋体" w:hAnsi="宋体"/>
                <w:color w:val="000000" w:themeColor="text1"/>
                <w:szCs w:val="21"/>
              </w:rPr>
              <w:t>（</w:t>
            </w:r>
            <w:r>
              <w:rPr>
                <w:rFonts w:hint="eastAsia" w:ascii="宋体" w:hAnsi="宋体"/>
                <w:color w:val="000000" w:themeColor="text1"/>
                <w:szCs w:val="21"/>
              </w:rPr>
              <w:t>8</w:t>
            </w:r>
            <w:r>
              <w:rPr>
                <w:rFonts w:ascii="宋体" w:hAnsi="宋体"/>
                <w:color w:val="000000" w:themeColor="text1"/>
                <w:szCs w:val="21"/>
              </w:rPr>
              <w:t>分）</w:t>
            </w:r>
          </w:p>
        </w:tc>
        <w:tc>
          <w:tcPr>
            <w:tcW w:w="725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ascii="宋体" w:hAnsi="宋体"/>
                <w:color w:val="000000" w:themeColor="text1"/>
                <w:kern w:val="0"/>
                <w:szCs w:val="21"/>
              </w:rPr>
            </w:pPr>
            <w:r>
              <w:rPr>
                <w:rFonts w:ascii="宋体" w:hAnsi="宋体"/>
                <w:b/>
                <w:color w:val="000000" w:themeColor="text1"/>
                <w:kern w:val="0"/>
                <w:szCs w:val="21"/>
              </w:rPr>
              <w:t>1、</w:t>
            </w:r>
            <w:r>
              <w:rPr>
                <w:rFonts w:ascii="宋体" w:hAnsi="宋体"/>
                <w:color w:val="000000" w:themeColor="text1"/>
                <w:kern w:val="0"/>
                <w:szCs w:val="21"/>
              </w:rPr>
              <w:t>质量控制措施完全符合相关技术要求，提供</w:t>
            </w:r>
            <w:r>
              <w:rPr>
                <w:rFonts w:hint="eastAsia" w:ascii="宋体" w:hAnsi="宋体"/>
                <w:color w:val="000000" w:themeColor="text1"/>
                <w:kern w:val="0"/>
                <w:szCs w:val="21"/>
              </w:rPr>
              <w:t>的</w:t>
            </w:r>
            <w:r>
              <w:rPr>
                <w:rFonts w:ascii="宋体" w:hAnsi="宋体"/>
                <w:color w:val="000000" w:themeColor="text1"/>
                <w:kern w:val="0"/>
                <w:szCs w:val="21"/>
              </w:rPr>
              <w:t>质量控制方案</w:t>
            </w:r>
            <w:r>
              <w:rPr>
                <w:rFonts w:hint="eastAsia" w:ascii="宋体" w:hAnsi="宋体"/>
                <w:color w:val="000000" w:themeColor="text1"/>
                <w:kern w:val="0"/>
                <w:szCs w:val="21"/>
              </w:rPr>
              <w:t>科学可行的</w:t>
            </w:r>
            <w:r>
              <w:rPr>
                <w:rFonts w:ascii="宋体" w:hAnsi="宋体"/>
                <w:color w:val="000000" w:themeColor="text1"/>
                <w:kern w:val="0"/>
                <w:szCs w:val="21"/>
              </w:rPr>
              <w:t>，得</w:t>
            </w:r>
            <w:r>
              <w:rPr>
                <w:rFonts w:hint="eastAsia" w:ascii="宋体" w:hAnsi="宋体"/>
                <w:color w:val="000000" w:themeColor="text1"/>
                <w:kern w:val="0"/>
                <w:szCs w:val="21"/>
              </w:rPr>
              <w:t>5</w:t>
            </w:r>
            <w:r>
              <w:rPr>
                <w:rFonts w:ascii="宋体" w:hAnsi="宋体"/>
                <w:color w:val="000000" w:themeColor="text1"/>
                <w:kern w:val="0"/>
                <w:szCs w:val="21"/>
              </w:rPr>
              <w:t>-</w:t>
            </w:r>
            <w:r>
              <w:rPr>
                <w:rFonts w:hint="eastAsia" w:ascii="宋体" w:hAnsi="宋体"/>
                <w:color w:val="000000" w:themeColor="text1"/>
                <w:kern w:val="0"/>
                <w:szCs w:val="21"/>
              </w:rPr>
              <w:t>6</w:t>
            </w:r>
            <w:r>
              <w:rPr>
                <w:rFonts w:ascii="宋体" w:hAnsi="宋体"/>
                <w:color w:val="000000" w:themeColor="text1"/>
                <w:kern w:val="0"/>
                <w:szCs w:val="21"/>
              </w:rPr>
              <w:t>分；质量控制措施部分符合的相关技术要求，提供质量控制方案</w:t>
            </w:r>
            <w:r>
              <w:rPr>
                <w:rFonts w:hint="eastAsia" w:ascii="宋体" w:hAnsi="宋体"/>
                <w:color w:val="000000" w:themeColor="text1"/>
                <w:kern w:val="0"/>
                <w:szCs w:val="21"/>
              </w:rPr>
              <w:t>基本可行的</w:t>
            </w:r>
            <w:r>
              <w:rPr>
                <w:rFonts w:ascii="宋体" w:hAnsi="宋体"/>
                <w:color w:val="000000" w:themeColor="text1"/>
                <w:kern w:val="0"/>
                <w:szCs w:val="21"/>
              </w:rPr>
              <w:t>，得</w:t>
            </w:r>
            <w:r>
              <w:rPr>
                <w:rFonts w:hint="eastAsia" w:ascii="宋体" w:hAnsi="宋体"/>
                <w:color w:val="000000" w:themeColor="text1"/>
                <w:kern w:val="0"/>
                <w:szCs w:val="21"/>
              </w:rPr>
              <w:t>3</w:t>
            </w:r>
            <w:r>
              <w:rPr>
                <w:rFonts w:ascii="宋体" w:hAnsi="宋体"/>
                <w:color w:val="000000" w:themeColor="text1"/>
                <w:kern w:val="0"/>
                <w:szCs w:val="21"/>
              </w:rPr>
              <w:t>-</w:t>
            </w:r>
            <w:r>
              <w:rPr>
                <w:rFonts w:hint="eastAsia" w:ascii="宋体" w:hAnsi="宋体"/>
                <w:color w:val="000000" w:themeColor="text1"/>
                <w:kern w:val="0"/>
                <w:szCs w:val="21"/>
              </w:rPr>
              <w:t>4</w:t>
            </w:r>
            <w:r>
              <w:rPr>
                <w:rFonts w:ascii="宋体" w:hAnsi="宋体"/>
                <w:color w:val="000000" w:themeColor="text1"/>
                <w:kern w:val="0"/>
                <w:szCs w:val="21"/>
              </w:rPr>
              <w:t>分；质量控制措施不符合相关技术要求或不提供质量控制方案</w:t>
            </w:r>
            <w:r>
              <w:rPr>
                <w:rFonts w:hint="eastAsia" w:ascii="宋体" w:hAnsi="宋体"/>
                <w:color w:val="000000" w:themeColor="text1"/>
                <w:kern w:val="0"/>
                <w:szCs w:val="21"/>
              </w:rPr>
              <w:t>的</w:t>
            </w:r>
            <w:r>
              <w:rPr>
                <w:rFonts w:ascii="宋体" w:hAnsi="宋体"/>
                <w:color w:val="000000" w:themeColor="text1"/>
                <w:kern w:val="0"/>
                <w:szCs w:val="21"/>
              </w:rPr>
              <w:t>均不得分。</w:t>
            </w:r>
          </w:p>
          <w:p>
            <w:pPr>
              <w:spacing w:line="276" w:lineRule="auto"/>
              <w:rPr>
                <w:rFonts w:ascii="宋体" w:hAnsi="宋体"/>
                <w:color w:val="000000" w:themeColor="text1"/>
                <w:szCs w:val="21"/>
              </w:rPr>
            </w:pPr>
            <w:r>
              <w:rPr>
                <w:rFonts w:ascii="宋体" w:hAnsi="宋体"/>
                <w:b/>
                <w:color w:val="000000" w:themeColor="text1"/>
                <w:kern w:val="0"/>
                <w:szCs w:val="21"/>
              </w:rPr>
              <w:t>2、</w:t>
            </w:r>
            <w:r>
              <w:rPr>
                <w:rFonts w:ascii="宋体" w:hAnsi="宋体"/>
                <w:color w:val="000000" w:themeColor="text1"/>
                <w:kern w:val="0"/>
                <w:szCs w:val="21"/>
              </w:rPr>
              <w:t>水质样品检测时效性</w:t>
            </w:r>
            <w:r>
              <w:rPr>
                <w:rFonts w:hint="eastAsia" w:ascii="宋体" w:hAnsi="宋体"/>
                <w:color w:val="000000" w:themeColor="text1"/>
                <w:kern w:val="0"/>
                <w:szCs w:val="21"/>
              </w:rPr>
              <w:t>：</w:t>
            </w:r>
            <w:r>
              <w:rPr>
                <w:color w:val="000000" w:themeColor="text1"/>
                <w:kern w:val="0"/>
              </w:rPr>
              <w:t>投标人化验室能满足从取样地取样到送达化验室时间</w:t>
            </w:r>
            <w:r>
              <w:rPr>
                <w:rFonts w:hint="eastAsia"/>
                <w:color w:val="000000" w:themeColor="text1"/>
                <w:kern w:val="0"/>
              </w:rPr>
              <w:t>在8</w:t>
            </w:r>
            <w:r>
              <w:rPr>
                <w:color w:val="000000" w:themeColor="text1"/>
                <w:kern w:val="0"/>
              </w:rPr>
              <w:t>小时以内的得</w:t>
            </w:r>
            <w:r>
              <w:rPr>
                <w:rFonts w:hint="eastAsia"/>
                <w:color w:val="000000" w:themeColor="text1"/>
                <w:kern w:val="0"/>
              </w:rPr>
              <w:t>2</w:t>
            </w:r>
            <w:r>
              <w:rPr>
                <w:color w:val="000000" w:themeColor="text1"/>
                <w:kern w:val="0"/>
              </w:rPr>
              <w:t>分；</w:t>
            </w:r>
            <w:r>
              <w:rPr>
                <w:rFonts w:hint="eastAsia" w:cs="宋体"/>
                <w:color w:val="000000" w:themeColor="text1"/>
                <w:kern w:val="0"/>
              </w:rPr>
              <w:t>超过8小时不得分。</w:t>
            </w:r>
            <w:r>
              <w:rPr>
                <w:color w:val="000000" w:themeColor="text1"/>
                <w:kern w:val="0"/>
              </w:rPr>
              <w:t>（提供检测时效性的</w:t>
            </w:r>
            <w:r>
              <w:rPr>
                <w:rFonts w:hint="eastAsia"/>
                <w:color w:val="000000" w:themeColor="text1"/>
                <w:kern w:val="0"/>
              </w:rPr>
              <w:t>书面承诺</w:t>
            </w:r>
            <w:r>
              <w:rPr>
                <w:color w:val="000000" w:themeColor="text1"/>
                <w:kern w:val="0"/>
              </w:rPr>
              <w:t>）</w:t>
            </w:r>
          </w:p>
        </w:tc>
      </w:tr>
    </w:tbl>
    <w:p>
      <w:pPr>
        <w:spacing w:line="500" w:lineRule="exact"/>
        <w:rPr>
          <w:rFonts w:ascii="宋体" w:hAnsi="宋体"/>
          <w:b/>
          <w:color w:val="000000" w:themeColor="text1"/>
          <w:sz w:val="24"/>
        </w:rPr>
      </w:pPr>
    </w:p>
    <w:p>
      <w:pPr>
        <w:pStyle w:val="4"/>
        <w:adjustRightInd w:val="0"/>
        <w:snapToGrid w:val="0"/>
        <w:spacing w:before="0" w:after="100" w:afterAutospacing="1" w:line="240" w:lineRule="auto"/>
        <w:jc w:val="left"/>
        <w:rPr>
          <w:rFonts w:ascii="宋体" w:hAnsi="宋体" w:eastAsia="宋体"/>
          <w:bCs w:val="0"/>
          <w:color w:val="000000" w:themeColor="text1"/>
          <w:sz w:val="28"/>
          <w:szCs w:val="28"/>
        </w:rPr>
      </w:pPr>
      <w:bookmarkStart w:id="62" w:name="_Toc9370"/>
      <w:bookmarkStart w:id="63" w:name="_Toc42206695"/>
      <w:bookmarkStart w:id="64" w:name="_Toc414384921"/>
      <w:r>
        <w:rPr>
          <w:rFonts w:hint="eastAsia" w:ascii="宋体" w:hAnsi="宋体" w:eastAsia="宋体"/>
          <w:bCs w:val="0"/>
          <w:color w:val="000000" w:themeColor="text1"/>
          <w:sz w:val="28"/>
          <w:szCs w:val="28"/>
        </w:rPr>
        <w:t>七、定标与授予合同</w:t>
      </w:r>
      <w:bookmarkEnd w:id="62"/>
      <w:bookmarkEnd w:id="63"/>
      <w:bookmarkEnd w:id="64"/>
    </w:p>
    <w:p>
      <w:pPr>
        <w:spacing w:line="500" w:lineRule="exact"/>
        <w:rPr>
          <w:rFonts w:ascii="宋体" w:hAnsi="宋体"/>
          <w:b/>
          <w:color w:val="000000" w:themeColor="text1"/>
          <w:sz w:val="24"/>
        </w:rPr>
      </w:pPr>
      <w:r>
        <w:rPr>
          <w:rFonts w:ascii="宋体" w:hAnsi="宋体"/>
          <w:b/>
          <w:color w:val="000000" w:themeColor="text1"/>
          <w:sz w:val="24"/>
        </w:rPr>
        <w:t>25.</w:t>
      </w:r>
      <w:r>
        <w:rPr>
          <w:rFonts w:ascii="宋体" w:hAnsi="宋体"/>
          <w:b/>
          <w:color w:val="000000" w:themeColor="text1"/>
          <w:sz w:val="24"/>
        </w:rPr>
        <w:tab/>
      </w:r>
      <w:r>
        <w:rPr>
          <w:rFonts w:hint="eastAsia" w:ascii="宋体" w:hAnsi="宋体"/>
          <w:b/>
          <w:color w:val="000000" w:themeColor="text1"/>
          <w:sz w:val="24"/>
        </w:rPr>
        <w:t>定标</w:t>
      </w:r>
    </w:p>
    <w:p>
      <w:pPr>
        <w:spacing w:line="500" w:lineRule="exact"/>
        <w:ind w:left="600" w:hanging="600"/>
        <w:rPr>
          <w:rFonts w:ascii="宋体" w:hAnsi="宋体"/>
          <w:color w:val="000000" w:themeColor="text1"/>
          <w:sz w:val="24"/>
        </w:rPr>
      </w:pPr>
      <w:r>
        <w:rPr>
          <w:rFonts w:ascii="宋体" w:hAnsi="宋体"/>
          <w:color w:val="000000" w:themeColor="text1"/>
          <w:sz w:val="24"/>
        </w:rPr>
        <w:t>25.1</w:t>
      </w:r>
      <w:r>
        <w:rPr>
          <w:rFonts w:hint="eastAsia" w:ascii="宋体" w:hAnsi="宋体"/>
          <w:color w:val="000000" w:themeColor="text1"/>
          <w:sz w:val="24"/>
        </w:rPr>
        <w:t>采购人根据评标委员会评标报告，按照得分从高到低排序，确定项目得分排序的第一位的投标人为预中标人。</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25.2 </w:t>
      </w:r>
      <w:r>
        <w:rPr>
          <w:rFonts w:hint="eastAsia" w:ascii="宋体" w:hAnsi="宋体"/>
          <w:color w:val="000000" w:themeColor="text1"/>
          <w:sz w:val="24"/>
        </w:rPr>
        <w:t>定标结果经由采购人根据相关法律规定予以公告。对未中标的投标人，采购人将不予解释未中标的原因。</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26. </w:t>
      </w:r>
      <w:r>
        <w:rPr>
          <w:rFonts w:hint="eastAsia" w:ascii="宋体" w:hAnsi="宋体"/>
          <w:b/>
          <w:color w:val="000000" w:themeColor="text1"/>
          <w:sz w:val="24"/>
        </w:rPr>
        <w:t>签订合同</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26.1 </w:t>
      </w:r>
      <w:r>
        <w:rPr>
          <w:rFonts w:hint="eastAsia" w:ascii="宋体" w:hAnsi="宋体"/>
          <w:color w:val="000000" w:themeColor="text1"/>
          <w:sz w:val="24"/>
        </w:rPr>
        <w:t>买方在发中标通知书的同时，将通知中标人预定签订合同的时间、地点。签订合同应在中标通知书发出后</w:t>
      </w:r>
      <w:r>
        <w:rPr>
          <w:rFonts w:ascii="宋体" w:hAnsi="宋体"/>
          <w:color w:val="000000" w:themeColor="text1"/>
          <w:sz w:val="24"/>
        </w:rPr>
        <w:t>10天内完成。</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26.2 </w:t>
      </w:r>
      <w:r>
        <w:rPr>
          <w:rFonts w:hint="eastAsia" w:ascii="宋体" w:hAnsi="宋体"/>
          <w:color w:val="000000" w:themeColor="text1"/>
          <w:sz w:val="24"/>
        </w:rPr>
        <w:t>招标文件和投标文件作为合同的组成部分。</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26.3 </w:t>
      </w:r>
      <w:r>
        <w:rPr>
          <w:rFonts w:hint="eastAsia" w:ascii="宋体" w:hAnsi="宋体"/>
          <w:color w:val="000000" w:themeColor="text1"/>
          <w:sz w:val="24"/>
        </w:rPr>
        <w:t>如果中标人放弃中标或者其中标被认定无效，采购人有权按中标候选人排序确定排名在下一名的中标候选人作为中标人，再有放弃或无效时，以此类推。但是，出现上述情况时，采购人并不必然选择排名在下一名的中标候选人作为中标人，采购人有权重新组织采购。</w:t>
      </w:r>
    </w:p>
    <w:p>
      <w:pPr>
        <w:spacing w:line="500" w:lineRule="exact"/>
        <w:ind w:left="600" w:hanging="600"/>
        <w:rPr>
          <w:rFonts w:ascii="宋体" w:hAnsi="宋体"/>
          <w:color w:val="000000" w:themeColor="text1"/>
          <w:sz w:val="24"/>
        </w:rPr>
      </w:pPr>
      <w:r>
        <w:rPr>
          <w:rFonts w:ascii="宋体" w:hAnsi="宋体"/>
          <w:color w:val="000000" w:themeColor="text1"/>
          <w:sz w:val="24"/>
        </w:rPr>
        <w:t xml:space="preserve">26.4 </w:t>
      </w:r>
      <w:r>
        <w:rPr>
          <w:rFonts w:hint="eastAsia" w:ascii="宋体" w:hAnsi="宋体"/>
          <w:color w:val="000000" w:themeColor="text1"/>
          <w:sz w:val="24"/>
        </w:rPr>
        <w:t>中标人应按照合同约定履行义务，完成中标项目。</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27. </w:t>
      </w:r>
      <w:r>
        <w:rPr>
          <w:rFonts w:hint="eastAsia" w:ascii="宋体" w:hAnsi="宋体"/>
          <w:b/>
          <w:color w:val="000000" w:themeColor="text1"/>
          <w:sz w:val="24"/>
        </w:rPr>
        <w:t>质疑与投诉</w:t>
      </w:r>
    </w:p>
    <w:p>
      <w:pPr>
        <w:spacing w:line="500" w:lineRule="exact"/>
        <w:ind w:left="210" w:leftChars="100" w:firstLine="480" w:firstLineChars="200"/>
        <w:rPr>
          <w:rFonts w:ascii="宋体" w:hAnsi="宋体"/>
          <w:color w:val="000000" w:themeColor="text1"/>
          <w:sz w:val="24"/>
        </w:rPr>
      </w:pPr>
      <w:r>
        <w:rPr>
          <w:rFonts w:hint="eastAsia" w:ascii="宋体" w:hAnsi="宋体"/>
          <w:color w:val="000000" w:themeColor="text1"/>
          <w:sz w:val="24"/>
        </w:rPr>
        <w:t>按照《中华人民共和国政府采购法》及相关规定，投标人有权对本项目招标活动提出质疑或投诉。</w:t>
      </w:r>
    </w:p>
    <w:p>
      <w:pPr>
        <w:spacing w:line="500" w:lineRule="exact"/>
        <w:ind w:left="720" w:hanging="720"/>
        <w:rPr>
          <w:rFonts w:ascii="宋体" w:hAnsi="宋体"/>
          <w:b/>
          <w:color w:val="000000" w:themeColor="text1"/>
          <w:sz w:val="24"/>
        </w:rPr>
      </w:pPr>
      <w:r>
        <w:rPr>
          <w:rFonts w:ascii="宋体" w:hAnsi="宋体"/>
          <w:b/>
          <w:color w:val="000000" w:themeColor="text1"/>
          <w:sz w:val="24"/>
        </w:rPr>
        <w:t xml:space="preserve">28. </w:t>
      </w:r>
      <w:r>
        <w:rPr>
          <w:rFonts w:hint="eastAsia" w:ascii="宋体" w:hAnsi="宋体"/>
          <w:b/>
          <w:color w:val="000000" w:themeColor="text1"/>
          <w:sz w:val="24"/>
        </w:rPr>
        <w:t>保密</w:t>
      </w:r>
    </w:p>
    <w:p>
      <w:pPr>
        <w:spacing w:line="500" w:lineRule="exact"/>
        <w:ind w:left="210" w:leftChars="100" w:firstLine="480" w:firstLineChars="200"/>
        <w:rPr>
          <w:rFonts w:ascii="宋体" w:hAnsi="宋体"/>
          <w:color w:val="000000" w:themeColor="text1"/>
          <w:sz w:val="24"/>
        </w:rPr>
      </w:pPr>
      <w:r>
        <w:rPr>
          <w:rFonts w:hint="eastAsia" w:ascii="宋体" w:hAnsi="宋体"/>
          <w:color w:val="000000" w:themeColor="text1"/>
          <w:sz w:val="24"/>
        </w:rPr>
        <w:t>无论投标人是否中标，未经采购人事先书面同意，投标人不得将从采购人处获得的招标文件以及有关资料全部或部分向第三方披露、泄露或许可第三方使用。对于涉及国家秘密的数据应采取相应保密措施，确保数据安全，避免有意和无意造成国家秘密泄露给任何不应该获得的人或组织，因此违犯国家法律的将追究其法律责任。</w:t>
      </w:r>
      <w:bookmarkEnd w:id="46"/>
    </w:p>
    <w:p>
      <w:pPr>
        <w:adjustRightInd w:val="0"/>
        <w:snapToGrid w:val="0"/>
        <w:spacing w:line="360" w:lineRule="auto"/>
        <w:ind w:firstLine="480" w:firstLineChars="200"/>
        <w:rPr>
          <w:rFonts w:ascii="宋体" w:hAnsi="宋体"/>
          <w:color w:val="000000" w:themeColor="text1"/>
          <w:sz w:val="24"/>
        </w:rPr>
        <w:sectPr>
          <w:footerReference r:id="rId6" w:type="default"/>
          <w:pgSz w:w="11907" w:h="16840"/>
          <w:pgMar w:top="1440" w:right="1247" w:bottom="1440" w:left="1247" w:header="851" w:footer="992" w:gutter="0"/>
          <w:cols w:space="720" w:num="1"/>
        </w:sectPr>
      </w:pPr>
    </w:p>
    <w:p>
      <w:pPr>
        <w:pStyle w:val="3"/>
        <w:spacing w:before="0" w:after="0" w:line="360" w:lineRule="auto"/>
        <w:jc w:val="center"/>
        <w:rPr>
          <w:rFonts w:ascii="宋体" w:hAnsi="宋体"/>
          <w:color w:val="000000" w:themeColor="text1"/>
          <w:kern w:val="2"/>
          <w:sz w:val="36"/>
          <w:szCs w:val="36"/>
        </w:rPr>
      </w:pPr>
      <w:bookmarkStart w:id="65" w:name="_Toc414384922"/>
      <w:bookmarkStart w:id="66" w:name="_Toc30513"/>
      <w:bookmarkStart w:id="67" w:name="_Toc42206696"/>
      <w:r>
        <w:rPr>
          <w:rFonts w:hint="eastAsia" w:ascii="宋体" w:hAnsi="宋体"/>
          <w:color w:val="000000" w:themeColor="text1"/>
          <w:kern w:val="2"/>
          <w:sz w:val="36"/>
          <w:szCs w:val="36"/>
        </w:rPr>
        <w:t>招标文件</w:t>
      </w:r>
      <w:r>
        <w:rPr>
          <w:rFonts w:ascii="宋体" w:hAnsi="宋体"/>
          <w:color w:val="000000" w:themeColor="text1"/>
          <w:kern w:val="2"/>
          <w:sz w:val="36"/>
          <w:szCs w:val="36"/>
        </w:rPr>
        <w:t>4:投标文件参考格式</w:t>
      </w:r>
      <w:bookmarkEnd w:id="65"/>
      <w:bookmarkEnd w:id="66"/>
      <w:bookmarkEnd w:id="67"/>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jc w:val="center"/>
        <w:rPr>
          <w:rFonts w:ascii="微软雅黑" w:hAnsi="微软雅黑" w:eastAsia="微软雅黑"/>
          <w:color w:val="000000" w:themeColor="text1"/>
          <w:sz w:val="36"/>
          <w:szCs w:val="36"/>
        </w:rPr>
      </w:pPr>
      <w:bookmarkStart w:id="68" w:name="_Toc193186871"/>
      <w:r>
        <w:rPr>
          <w:rFonts w:ascii="微软雅黑" w:hAnsi="微软雅黑" w:eastAsia="微软雅黑"/>
          <w:color w:val="000000" w:themeColor="text1"/>
          <w:sz w:val="36"/>
          <w:szCs w:val="36"/>
        </w:rPr>
        <w:t>2020年</w:t>
      </w:r>
      <w:r>
        <w:rPr>
          <w:rFonts w:hint="eastAsia" w:ascii="微软雅黑" w:hAnsi="微软雅黑" w:eastAsia="微软雅黑"/>
          <w:color w:val="000000" w:themeColor="text1"/>
          <w:sz w:val="36"/>
          <w:szCs w:val="36"/>
        </w:rPr>
        <w:t>安徽</w:t>
      </w:r>
      <w:r>
        <w:rPr>
          <w:rFonts w:ascii="微软雅黑" w:hAnsi="微软雅黑" w:eastAsia="微软雅黑"/>
          <w:color w:val="000000" w:themeColor="text1"/>
          <w:sz w:val="36"/>
          <w:szCs w:val="36"/>
        </w:rPr>
        <w:t>省国家地下水监测工程（水利部分）</w:t>
      </w:r>
    </w:p>
    <w:p>
      <w:pPr>
        <w:jc w:val="center"/>
        <w:rPr>
          <w:rFonts w:ascii="微软雅黑" w:hAnsi="微软雅黑" w:eastAsia="微软雅黑"/>
          <w:color w:val="000000" w:themeColor="text1"/>
          <w:sz w:val="36"/>
          <w:szCs w:val="36"/>
        </w:rPr>
      </w:pPr>
      <w:r>
        <w:rPr>
          <w:rFonts w:hint="eastAsia" w:ascii="微软雅黑" w:hAnsi="微软雅黑" w:eastAsia="微软雅黑"/>
          <w:color w:val="000000" w:themeColor="text1"/>
          <w:sz w:val="36"/>
          <w:szCs w:val="36"/>
        </w:rPr>
        <w:t>运行维护及地下水水质监测项目</w:t>
      </w:r>
    </w:p>
    <w:p>
      <w:pPr>
        <w:rPr>
          <w:rFonts w:ascii="微软雅黑" w:hAnsi="微软雅黑" w:eastAsia="微软雅黑"/>
          <w:color w:val="000000" w:themeColor="text1"/>
          <w:sz w:val="36"/>
          <w:szCs w:val="36"/>
        </w:rPr>
      </w:pPr>
    </w:p>
    <w:p>
      <w:pPr>
        <w:spacing w:beforeLines="50" w:afterLines="50" w:line="480" w:lineRule="auto"/>
        <w:jc w:val="center"/>
        <w:rPr>
          <w:rFonts w:ascii="黑体" w:hAnsi="黑体" w:eastAsia="黑体"/>
          <w:color w:val="000000" w:themeColor="text1"/>
          <w:sz w:val="52"/>
          <w:szCs w:val="52"/>
        </w:rPr>
      </w:pPr>
      <w:r>
        <w:rPr>
          <w:rFonts w:hint="eastAsia" w:ascii="黑体" w:hAnsi="黑体" w:eastAsia="黑体"/>
          <w:color w:val="000000" w:themeColor="text1"/>
          <w:sz w:val="52"/>
          <w:szCs w:val="52"/>
        </w:rPr>
        <w:t>投标</w:t>
      </w:r>
      <w:bookmarkEnd w:id="68"/>
      <w:r>
        <w:rPr>
          <w:rFonts w:hint="eastAsia" w:ascii="黑体" w:hAnsi="黑体" w:eastAsia="黑体"/>
          <w:color w:val="000000" w:themeColor="text1"/>
          <w:sz w:val="52"/>
          <w:szCs w:val="52"/>
        </w:rPr>
        <w:t>文件</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
        <w:adjustRightInd w:val="0"/>
        <w:snapToGrid w:val="0"/>
        <w:spacing w:before="0" w:after="100" w:afterAutospacing="1" w:line="240" w:lineRule="auto"/>
        <w:jc w:val="center"/>
        <w:rPr>
          <w:rFonts w:ascii="黑体" w:hAnsi="黑体"/>
          <w:bCs w:val="0"/>
          <w:color w:val="000000" w:themeColor="text1"/>
          <w:sz w:val="36"/>
          <w:szCs w:val="36"/>
        </w:rPr>
      </w:pPr>
      <w:bookmarkStart w:id="69" w:name="_Toc42206697"/>
      <w:r>
        <w:rPr>
          <w:rFonts w:hint="eastAsia" w:ascii="黑体" w:hAnsi="黑体"/>
          <w:bCs w:val="0"/>
          <w:color w:val="000000" w:themeColor="text1"/>
          <w:sz w:val="36"/>
          <w:szCs w:val="36"/>
        </w:rPr>
        <w:t>商务卷</w:t>
      </w:r>
      <w:bookmarkEnd w:id="69"/>
    </w:p>
    <w:p>
      <w:pPr>
        <w:rPr>
          <w:color w:val="000000" w:themeColor="text1"/>
        </w:rPr>
      </w:pPr>
    </w:p>
    <w:p>
      <w:pPr>
        <w:rPr>
          <w:color w:val="000000" w:themeColor="text1"/>
        </w:rPr>
      </w:pPr>
    </w:p>
    <w:p>
      <w:pPr>
        <w:rPr>
          <w:color w:val="000000" w:themeColor="text1"/>
        </w:rPr>
      </w:pPr>
    </w:p>
    <w:p>
      <w:pPr>
        <w:rPr>
          <w:color w:val="000000" w:themeColor="text1"/>
        </w:rPr>
      </w:pPr>
      <w:bookmarkStart w:id="70" w:name="_Toc193186872"/>
    </w:p>
    <w:p>
      <w:pPr>
        <w:rPr>
          <w:color w:val="000000" w:themeColor="text1"/>
        </w:rPr>
      </w:pPr>
    </w:p>
    <w:bookmarkEnd w:id="70"/>
    <w:p>
      <w:pPr>
        <w:rPr>
          <w:color w:val="000000" w:themeColor="text1"/>
        </w:rPr>
      </w:pPr>
    </w:p>
    <w:p>
      <w:pPr>
        <w:rPr>
          <w:color w:val="000000" w:themeColor="text1"/>
        </w:rPr>
      </w:pPr>
    </w:p>
    <w:p>
      <w:pPr>
        <w:rPr>
          <w:color w:val="000000" w:themeColor="text1"/>
        </w:rPr>
      </w:pPr>
    </w:p>
    <w:p>
      <w:pPr>
        <w:rPr>
          <w:color w:val="000000" w:themeColor="text1"/>
        </w:rPr>
      </w:pPr>
    </w:p>
    <w:p>
      <w:pPr>
        <w:spacing w:beforeLines="50" w:afterLines="50" w:line="480" w:lineRule="auto"/>
        <w:ind w:firstLine="1280" w:firstLineChars="400"/>
        <w:jc w:val="left"/>
        <w:rPr>
          <w:color w:val="000000" w:themeColor="text1"/>
          <w:sz w:val="32"/>
          <w:szCs w:val="32"/>
        </w:rPr>
      </w:pPr>
      <w:bookmarkStart w:id="71" w:name="_Toc193186874"/>
      <w:r>
        <w:rPr>
          <w:rFonts w:hint="eastAsia"/>
          <w:color w:val="000000" w:themeColor="text1"/>
          <w:sz w:val="32"/>
          <w:szCs w:val="32"/>
        </w:rPr>
        <w:t>投标人</w:t>
      </w:r>
      <w:bookmarkEnd w:id="71"/>
      <w:bookmarkStart w:id="72" w:name="_Toc193186875"/>
      <w:r>
        <w:rPr>
          <w:rFonts w:hint="eastAsia"/>
          <w:color w:val="000000" w:themeColor="text1"/>
          <w:sz w:val="32"/>
          <w:szCs w:val="32"/>
        </w:rPr>
        <w:t>（或联合体牵头单位）：</w:t>
      </w:r>
    </w:p>
    <w:p>
      <w:pPr>
        <w:spacing w:beforeLines="50" w:afterLines="50" w:line="480" w:lineRule="auto"/>
        <w:ind w:firstLine="1280" w:firstLineChars="400"/>
        <w:jc w:val="center"/>
        <w:rPr>
          <w:color w:val="000000" w:themeColor="text1"/>
          <w:sz w:val="32"/>
          <w:szCs w:val="32"/>
        </w:rPr>
      </w:pPr>
      <w:r>
        <w:rPr>
          <w:rFonts w:hint="eastAsia"/>
          <w:color w:val="000000" w:themeColor="text1"/>
          <w:sz w:val="32"/>
          <w:szCs w:val="32"/>
        </w:rPr>
        <w:t>二〇二〇年   月   日</w:t>
      </w:r>
      <w:bookmarkEnd w:id="72"/>
    </w:p>
    <w:p>
      <w:pPr>
        <w:spacing w:beforeLines="50" w:afterLines="50" w:line="480" w:lineRule="auto"/>
        <w:jc w:val="center"/>
        <w:rPr>
          <w:color w:val="000000" w:themeColor="text1"/>
          <w:sz w:val="32"/>
          <w:szCs w:val="32"/>
        </w:rPr>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73" w:name="_Toc42206698"/>
      <w:r>
        <w:rPr>
          <w:rFonts w:hint="eastAsia" w:ascii="黑体" w:hAnsi="黑体"/>
          <w:bCs w:val="0"/>
          <w:color w:val="000000" w:themeColor="text1"/>
          <w:sz w:val="36"/>
          <w:szCs w:val="36"/>
        </w:rPr>
        <w:t>一、投标报价表</w:t>
      </w:r>
      <w:bookmarkEnd w:id="73"/>
    </w:p>
    <w:p>
      <w:pPr>
        <w:wordWrap w:val="0"/>
        <w:spacing w:line="900" w:lineRule="atLeast"/>
        <w:ind w:right="360"/>
        <w:jc w:val="right"/>
        <w:rPr>
          <w:rFonts w:ascii="宋体" w:hAnsi="宋体"/>
          <w:b/>
          <w:color w:val="000000" w:themeColor="text1"/>
          <w:sz w:val="30"/>
          <w:szCs w:val="30"/>
        </w:rPr>
      </w:pPr>
    </w:p>
    <w:tbl>
      <w:tblPr>
        <w:tblStyle w:val="4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shd w:val="clear" w:color="auto" w:fill="auto"/>
            <w:vAlign w:val="center"/>
          </w:tcPr>
          <w:p>
            <w:pPr>
              <w:adjustRightInd w:val="0"/>
              <w:snapToGrid w:val="0"/>
              <w:spacing w:beforeLines="50" w:line="360" w:lineRule="auto"/>
              <w:jc w:val="center"/>
              <w:rPr>
                <w:rFonts w:ascii="宋体" w:hAnsi="宋体"/>
                <w:b/>
                <w:color w:val="000000" w:themeColor="text1"/>
                <w:sz w:val="30"/>
                <w:szCs w:val="30"/>
              </w:rPr>
            </w:pPr>
            <w:r>
              <w:rPr>
                <w:rFonts w:hint="eastAsia" w:ascii="宋体" w:hAnsi="宋体"/>
                <w:b/>
                <w:color w:val="000000" w:themeColor="text1"/>
                <w:sz w:val="30"/>
                <w:szCs w:val="30"/>
              </w:rPr>
              <w:t>招标编号</w:t>
            </w:r>
          </w:p>
        </w:tc>
        <w:tc>
          <w:tcPr>
            <w:tcW w:w="5670" w:type="dxa"/>
            <w:shd w:val="clear" w:color="auto" w:fill="auto"/>
            <w:vAlign w:val="center"/>
          </w:tcPr>
          <w:p>
            <w:pPr>
              <w:adjustRightInd w:val="0"/>
              <w:snapToGrid w:val="0"/>
              <w:spacing w:beforeLines="50" w:line="360" w:lineRule="auto"/>
              <w:jc w:val="center"/>
              <w:rPr>
                <w:rFonts w:ascii="宋体" w:hAnsi="宋体"/>
                <w:b/>
                <w:color w:val="000000" w:themeColor="text1"/>
                <w:sz w:val="30"/>
                <w:szCs w:val="30"/>
              </w:rPr>
            </w:pPr>
            <w:r>
              <w:rPr>
                <w:rFonts w:hint="eastAsia" w:ascii="宋体" w:hAnsi="宋体"/>
                <w:b/>
                <w:color w:val="000000" w:themeColor="text1"/>
                <w:sz w:val="30"/>
                <w:szCs w:val="3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3085" w:type="dxa"/>
            <w:shd w:val="clear" w:color="auto" w:fill="auto"/>
            <w:vAlign w:val="center"/>
          </w:tcPr>
          <w:p>
            <w:pPr>
              <w:tabs>
                <w:tab w:val="left" w:pos="825"/>
              </w:tabs>
              <w:spacing w:before="120" w:line="360" w:lineRule="auto"/>
              <w:rPr>
                <w:rFonts w:ascii="宋体" w:hAnsi="宋体"/>
                <w:color w:val="000000" w:themeColor="text1"/>
                <w:sz w:val="28"/>
                <w:szCs w:val="28"/>
              </w:rPr>
            </w:pPr>
          </w:p>
        </w:tc>
        <w:tc>
          <w:tcPr>
            <w:tcW w:w="5670" w:type="dxa"/>
            <w:shd w:val="clear" w:color="auto" w:fill="auto"/>
            <w:vAlign w:val="center"/>
          </w:tcPr>
          <w:p>
            <w:pPr>
              <w:tabs>
                <w:tab w:val="left" w:pos="825"/>
              </w:tabs>
              <w:spacing w:before="120" w:line="360" w:lineRule="auto"/>
              <w:rPr>
                <w:rFonts w:ascii="宋体" w:hAnsi="宋体"/>
                <w:color w:val="000000" w:themeColor="text1"/>
                <w:sz w:val="28"/>
                <w:szCs w:val="28"/>
              </w:rPr>
            </w:pPr>
            <w:r>
              <w:rPr>
                <w:rFonts w:ascii="宋体" w:hAnsi="宋体"/>
                <w:color w:val="000000" w:themeColor="text1"/>
                <w:sz w:val="28"/>
                <w:szCs w:val="28"/>
              </w:rPr>
              <w:t>人民币大写</w:t>
            </w:r>
            <w:r>
              <w:rPr>
                <w:rFonts w:hint="eastAsia" w:ascii="宋体" w:hAnsi="宋体"/>
                <w:color w:val="000000" w:themeColor="text1"/>
                <w:sz w:val="28"/>
                <w:szCs w:val="28"/>
              </w:rPr>
              <w:t>：</w:t>
            </w:r>
          </w:p>
          <w:p>
            <w:pPr>
              <w:tabs>
                <w:tab w:val="left" w:pos="825"/>
              </w:tabs>
              <w:spacing w:before="120" w:line="360" w:lineRule="auto"/>
              <w:rPr>
                <w:rFonts w:ascii="宋体" w:hAnsi="宋体"/>
                <w:color w:val="000000" w:themeColor="text1"/>
                <w:sz w:val="28"/>
                <w:szCs w:val="28"/>
              </w:rPr>
            </w:pPr>
            <w:r>
              <w:rPr>
                <w:rFonts w:ascii="宋体" w:hAnsi="宋体"/>
                <w:color w:val="000000" w:themeColor="text1"/>
                <w:sz w:val="28"/>
                <w:szCs w:val="28"/>
              </w:rPr>
              <w:t>人民币小写</w:t>
            </w:r>
            <w:r>
              <w:rPr>
                <w:rFonts w:hint="eastAsia" w:ascii="宋体" w:hAnsi="宋体"/>
                <w:color w:val="000000" w:themeColor="text1"/>
                <w:sz w:val="28"/>
                <w:szCs w:val="28"/>
              </w:rPr>
              <w:t>：</w:t>
            </w:r>
          </w:p>
        </w:tc>
      </w:tr>
    </w:tbl>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spacing w:line="600" w:lineRule="auto"/>
        <w:rPr>
          <w:rFonts w:ascii="宋体" w:hAnsi="宋体"/>
          <w:color w:val="000000" w:themeColor="text1"/>
          <w:sz w:val="28"/>
        </w:rPr>
      </w:pPr>
      <w:r>
        <w:rPr>
          <w:rFonts w:hint="eastAsia" w:ascii="宋体" w:hAnsi="宋体"/>
          <w:color w:val="000000" w:themeColor="text1"/>
          <w:sz w:val="28"/>
        </w:rPr>
        <w:t>投标人名称：</w:t>
      </w:r>
      <w:r>
        <w:rPr>
          <w:rFonts w:ascii="宋体" w:hAnsi="宋体"/>
          <w:color w:val="000000" w:themeColor="text1"/>
          <w:sz w:val="28"/>
        </w:rPr>
        <w:t xml:space="preserve">  （加盖公章）  </w:t>
      </w:r>
    </w:p>
    <w:p>
      <w:pPr>
        <w:spacing w:line="600" w:lineRule="auto"/>
        <w:rPr>
          <w:rFonts w:ascii="宋体" w:hAnsi="宋体"/>
          <w:color w:val="000000" w:themeColor="text1"/>
          <w:sz w:val="28"/>
        </w:rPr>
      </w:pPr>
      <w:r>
        <w:rPr>
          <w:rFonts w:hint="eastAsia" w:ascii="宋体" w:hAnsi="宋体"/>
          <w:color w:val="000000" w:themeColor="text1"/>
          <w:sz w:val="28"/>
        </w:rPr>
        <w:t>投标人法定代表人或其委托代理人：（签字）</w:t>
      </w:r>
    </w:p>
    <w:p>
      <w:pPr>
        <w:spacing w:line="600" w:lineRule="auto"/>
        <w:rPr>
          <w:rFonts w:ascii="宋体" w:hAnsi="宋体"/>
          <w:color w:val="000000" w:themeColor="text1"/>
          <w:sz w:val="28"/>
        </w:rPr>
      </w:pPr>
      <w:r>
        <w:rPr>
          <w:rFonts w:hint="eastAsia" w:ascii="宋体" w:hAnsi="宋体"/>
          <w:color w:val="000000" w:themeColor="text1"/>
          <w:sz w:val="28"/>
        </w:rPr>
        <w:t>投标人地址：（企业法定地址）</w:t>
      </w:r>
    </w:p>
    <w:p>
      <w:pPr>
        <w:spacing w:line="600" w:lineRule="auto"/>
        <w:rPr>
          <w:rFonts w:ascii="宋体" w:hAnsi="宋体"/>
          <w:color w:val="000000" w:themeColor="text1"/>
          <w:sz w:val="28"/>
        </w:rPr>
      </w:pPr>
      <w:r>
        <w:rPr>
          <w:rFonts w:hint="eastAsia" w:ascii="宋体" w:hAnsi="宋体"/>
          <w:color w:val="000000" w:themeColor="text1"/>
          <w:sz w:val="28"/>
        </w:rPr>
        <w:t>日期：   年   月   日</w:t>
      </w:r>
    </w:p>
    <w:p>
      <w:pPr>
        <w:spacing w:before="120" w:after="120" w:line="360" w:lineRule="auto"/>
        <w:rPr>
          <w:rFonts w:ascii="宋体" w:hAnsi="宋体"/>
          <w:iCs/>
          <w:color w:val="000000" w:themeColor="text1"/>
          <w:sz w:val="24"/>
        </w:rPr>
      </w:pPr>
      <w:r>
        <w:rPr>
          <w:rFonts w:ascii="宋体" w:hAnsi="宋体"/>
          <w:b/>
          <w:bCs/>
          <w:color w:val="000000" w:themeColor="text1"/>
          <w:sz w:val="24"/>
        </w:rPr>
        <w:t>注：</w:t>
      </w:r>
      <w:r>
        <w:rPr>
          <w:rFonts w:ascii="宋体" w:hAnsi="宋体"/>
          <w:iCs/>
          <w:color w:val="000000" w:themeColor="text1"/>
          <w:sz w:val="24"/>
        </w:rPr>
        <w:t>此表价格如与</w:t>
      </w:r>
      <w:r>
        <w:rPr>
          <w:rFonts w:hint="eastAsia" w:ascii="宋体" w:hAnsi="宋体"/>
          <w:iCs/>
          <w:color w:val="000000" w:themeColor="text1"/>
          <w:sz w:val="24"/>
        </w:rPr>
        <w:t>其他</w:t>
      </w:r>
      <w:r>
        <w:rPr>
          <w:rFonts w:ascii="宋体" w:hAnsi="宋体"/>
          <w:iCs/>
          <w:color w:val="000000" w:themeColor="text1"/>
          <w:sz w:val="24"/>
        </w:rPr>
        <w:t>投标文件中价格不一致，以本表价格为准</w:t>
      </w:r>
      <w:r>
        <w:rPr>
          <w:rFonts w:hint="eastAsia" w:ascii="宋体" w:hAnsi="宋体"/>
          <w:iCs/>
          <w:color w:val="000000" w:themeColor="text1"/>
          <w:sz w:val="24"/>
        </w:rPr>
        <w:t>。</w:t>
      </w:r>
    </w:p>
    <w:p>
      <w:pPr>
        <w:rPr>
          <w:rFonts w:ascii="宋体" w:hAnsi="宋体"/>
          <w:b/>
          <w:bCs/>
          <w:color w:val="000000" w:themeColor="text1"/>
          <w:sz w:val="24"/>
        </w:rPr>
      </w:pPr>
      <w:r>
        <w:rPr>
          <w:rFonts w:hint="eastAsia" w:ascii="宋体" w:hAnsi="宋体"/>
          <w:b/>
          <w:bCs/>
          <w:color w:val="FF0000"/>
          <w:sz w:val="24"/>
        </w:rPr>
        <w:t>注意：如为联合体投标，由联合体牵头单位签字盖章。</w:t>
      </w:r>
    </w:p>
    <w:p>
      <w:pPr>
        <w:spacing w:before="120" w:after="120" w:line="360" w:lineRule="auto"/>
        <w:rPr>
          <w:rFonts w:ascii="宋体" w:hAnsi="宋体"/>
          <w:iCs/>
          <w:color w:val="000000" w:themeColor="text1"/>
          <w:sz w:val="24"/>
        </w:rPr>
      </w:pPr>
    </w:p>
    <w:p>
      <w:pPr>
        <w:pStyle w:val="4"/>
        <w:adjustRightInd w:val="0"/>
        <w:snapToGrid w:val="0"/>
        <w:spacing w:before="0" w:after="100" w:afterAutospacing="1" w:line="240" w:lineRule="auto"/>
        <w:jc w:val="left"/>
        <w:rPr>
          <w:rFonts w:ascii="黑体" w:hAnsi="黑体"/>
          <w:bCs w:val="0"/>
          <w:color w:val="000000" w:themeColor="text1"/>
          <w:sz w:val="36"/>
          <w:szCs w:val="36"/>
        </w:rPr>
      </w:pPr>
      <w:r>
        <w:rPr>
          <w:rFonts w:ascii="黑体" w:hAnsi="黑体"/>
          <w:bCs w:val="0"/>
          <w:color w:val="000000" w:themeColor="text1"/>
          <w:sz w:val="36"/>
          <w:szCs w:val="36"/>
        </w:rPr>
        <w:br w:type="page"/>
      </w:r>
      <w:bookmarkStart w:id="74" w:name="_Toc42206699"/>
      <w:r>
        <w:rPr>
          <w:rFonts w:hint="eastAsia" w:ascii="黑体" w:hAnsi="黑体"/>
          <w:bCs w:val="0"/>
          <w:color w:val="000000" w:themeColor="text1"/>
          <w:sz w:val="36"/>
          <w:szCs w:val="36"/>
        </w:rPr>
        <w:t>二、分项报价表</w:t>
      </w:r>
      <w:bookmarkEnd w:id="74"/>
    </w:p>
    <w:p>
      <w:pPr>
        <w:adjustRightInd w:val="0"/>
        <w:snapToGrid w:val="0"/>
        <w:spacing w:line="360" w:lineRule="auto"/>
        <w:rPr>
          <w:rFonts w:ascii="仿宋_GB2312" w:hAnsi="宋体" w:eastAsia="仿宋_GB2312"/>
          <w:color w:val="000000" w:themeColor="text1"/>
          <w:sz w:val="28"/>
          <w:szCs w:val="28"/>
        </w:rPr>
      </w:pPr>
    </w:p>
    <w:tbl>
      <w:tblPr>
        <w:tblStyle w:val="41"/>
        <w:tblW w:w="962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6"/>
        <w:gridCol w:w="3589"/>
        <w:gridCol w:w="1172"/>
        <w:gridCol w:w="1790"/>
        <w:gridCol w:w="1172"/>
        <w:gridCol w:w="12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3" w:hRule="atLeast"/>
          <w:jc w:val="center"/>
        </w:trPr>
        <w:tc>
          <w:tcPr>
            <w:tcW w:w="626" w:type="dxa"/>
            <w:tcBorders>
              <w:bottom w:val="double" w:color="000000" w:sz="6" w:space="0"/>
            </w:tcBorders>
            <w:vAlign w:val="center"/>
          </w:tcPr>
          <w:p>
            <w:pPr>
              <w:adjustRightInd w:val="0"/>
              <w:snapToGrid w:val="0"/>
              <w:jc w:val="center"/>
              <w:rPr>
                <w:rFonts w:ascii="宋体" w:hAnsi="宋体"/>
                <w:caps/>
                <w:color w:val="000000" w:themeColor="text1"/>
                <w:sz w:val="28"/>
                <w:szCs w:val="28"/>
              </w:rPr>
            </w:pPr>
            <w:r>
              <w:rPr>
                <w:rFonts w:ascii="宋体" w:hAnsi="宋体"/>
                <w:caps/>
                <w:color w:val="000000" w:themeColor="text1"/>
                <w:sz w:val="28"/>
                <w:szCs w:val="28"/>
              </w:rPr>
              <w:t>序号</w:t>
            </w:r>
          </w:p>
        </w:tc>
        <w:tc>
          <w:tcPr>
            <w:tcW w:w="3589" w:type="dxa"/>
            <w:tcBorders>
              <w:bottom w:val="double" w:color="000000" w:sz="6" w:space="0"/>
            </w:tcBorders>
            <w:vAlign w:val="center"/>
          </w:tcPr>
          <w:p>
            <w:pPr>
              <w:adjustRightInd w:val="0"/>
              <w:snapToGrid w:val="0"/>
              <w:jc w:val="center"/>
              <w:rPr>
                <w:rFonts w:ascii="宋体" w:hAnsi="宋体"/>
                <w:caps/>
                <w:color w:val="000000" w:themeColor="text1"/>
                <w:sz w:val="28"/>
                <w:szCs w:val="28"/>
              </w:rPr>
            </w:pPr>
            <w:r>
              <w:rPr>
                <w:rFonts w:ascii="宋体" w:hAnsi="宋体"/>
                <w:caps/>
                <w:color w:val="000000" w:themeColor="text1"/>
                <w:sz w:val="28"/>
                <w:szCs w:val="28"/>
              </w:rPr>
              <w:t>项目名称</w:t>
            </w:r>
          </w:p>
        </w:tc>
        <w:tc>
          <w:tcPr>
            <w:tcW w:w="1172" w:type="dxa"/>
            <w:tcBorders>
              <w:bottom w:val="double" w:color="000000" w:sz="6" w:space="0"/>
            </w:tcBorders>
            <w:vAlign w:val="center"/>
          </w:tcPr>
          <w:p>
            <w:pPr>
              <w:adjustRightInd w:val="0"/>
              <w:snapToGrid w:val="0"/>
              <w:jc w:val="center"/>
              <w:rPr>
                <w:rFonts w:ascii="宋体" w:hAnsi="宋体"/>
                <w:caps/>
                <w:sz w:val="28"/>
                <w:szCs w:val="28"/>
              </w:rPr>
            </w:pPr>
            <w:r>
              <w:rPr>
                <w:rFonts w:ascii="宋体" w:hAnsi="宋体"/>
                <w:caps/>
                <w:sz w:val="28"/>
                <w:szCs w:val="28"/>
              </w:rPr>
              <w:t>单价</w:t>
            </w:r>
          </w:p>
          <w:p>
            <w:pPr>
              <w:adjustRightInd w:val="0"/>
              <w:snapToGrid w:val="0"/>
              <w:jc w:val="center"/>
              <w:rPr>
                <w:rFonts w:ascii="宋体" w:hAnsi="宋体"/>
                <w:caps/>
                <w:sz w:val="28"/>
                <w:szCs w:val="28"/>
              </w:rPr>
            </w:pPr>
            <w:r>
              <w:rPr>
                <w:rFonts w:ascii="宋体" w:hAnsi="宋体"/>
                <w:caps/>
                <w:szCs w:val="21"/>
              </w:rPr>
              <w:t>（</w:t>
            </w:r>
            <w:r>
              <w:rPr>
                <w:rFonts w:ascii="宋体" w:hAnsi="宋体"/>
                <w:szCs w:val="21"/>
              </w:rPr>
              <w:t>元）</w:t>
            </w:r>
          </w:p>
        </w:tc>
        <w:tc>
          <w:tcPr>
            <w:tcW w:w="1790" w:type="dxa"/>
            <w:tcBorders>
              <w:bottom w:val="double" w:color="000000" w:sz="6" w:space="0"/>
            </w:tcBorders>
            <w:vAlign w:val="center"/>
          </w:tcPr>
          <w:p>
            <w:pPr>
              <w:adjustRightInd w:val="0"/>
              <w:snapToGrid w:val="0"/>
              <w:jc w:val="center"/>
              <w:rPr>
                <w:rFonts w:ascii="宋体" w:hAnsi="宋体"/>
                <w:caps/>
                <w:sz w:val="28"/>
                <w:szCs w:val="28"/>
              </w:rPr>
            </w:pPr>
            <w:r>
              <w:rPr>
                <w:rFonts w:ascii="宋体" w:hAnsi="宋体"/>
                <w:caps/>
                <w:sz w:val="28"/>
                <w:szCs w:val="28"/>
              </w:rPr>
              <w:t>数量</w:t>
            </w:r>
          </w:p>
        </w:tc>
        <w:tc>
          <w:tcPr>
            <w:tcW w:w="1172" w:type="dxa"/>
            <w:tcBorders>
              <w:bottom w:val="double" w:color="000000" w:sz="6" w:space="0"/>
            </w:tcBorders>
            <w:vAlign w:val="center"/>
          </w:tcPr>
          <w:p>
            <w:pPr>
              <w:adjustRightInd w:val="0"/>
              <w:snapToGrid w:val="0"/>
              <w:jc w:val="center"/>
              <w:rPr>
                <w:rFonts w:ascii="宋体" w:hAnsi="宋体"/>
                <w:caps/>
                <w:sz w:val="28"/>
                <w:szCs w:val="28"/>
              </w:rPr>
            </w:pPr>
            <w:r>
              <w:rPr>
                <w:rFonts w:ascii="宋体" w:hAnsi="宋体"/>
                <w:caps/>
                <w:sz w:val="28"/>
                <w:szCs w:val="28"/>
              </w:rPr>
              <w:t>总价</w:t>
            </w:r>
          </w:p>
          <w:p>
            <w:pPr>
              <w:adjustRightInd w:val="0"/>
              <w:snapToGrid w:val="0"/>
              <w:jc w:val="center"/>
              <w:rPr>
                <w:rFonts w:ascii="宋体" w:hAnsi="宋体"/>
                <w:caps/>
                <w:sz w:val="28"/>
                <w:szCs w:val="28"/>
              </w:rPr>
            </w:pPr>
            <w:r>
              <w:rPr>
                <w:rFonts w:ascii="宋体" w:hAnsi="宋体"/>
                <w:caps/>
                <w:szCs w:val="21"/>
              </w:rPr>
              <w:t>（元）</w:t>
            </w:r>
          </w:p>
        </w:tc>
        <w:tc>
          <w:tcPr>
            <w:tcW w:w="1280" w:type="dxa"/>
            <w:tcBorders>
              <w:bottom w:val="double" w:color="000000" w:sz="6" w:space="0"/>
            </w:tcBorders>
            <w:vAlign w:val="center"/>
          </w:tcPr>
          <w:p>
            <w:pPr>
              <w:adjustRightInd w:val="0"/>
              <w:snapToGrid w:val="0"/>
              <w:jc w:val="center"/>
              <w:rPr>
                <w:rFonts w:ascii="宋体" w:hAnsi="宋体"/>
                <w:caps/>
                <w:color w:val="000000" w:themeColor="text1"/>
                <w:sz w:val="28"/>
                <w:szCs w:val="28"/>
              </w:rPr>
            </w:pPr>
            <w:r>
              <w:rPr>
                <w:rFonts w:ascii="宋体" w:hAnsi="宋体"/>
                <w:caps/>
                <w:color w:val="000000" w:themeColor="text1"/>
                <w:sz w:val="28"/>
                <w:szCs w:val="28"/>
              </w:rPr>
              <w:t>描述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1</w:t>
            </w:r>
          </w:p>
        </w:tc>
        <w:tc>
          <w:tcPr>
            <w:tcW w:w="3589" w:type="dxa"/>
            <w:vAlign w:val="center"/>
          </w:tcPr>
          <w:p>
            <w:pPr>
              <w:rPr>
                <w:color w:val="000000" w:themeColor="text1"/>
                <w:sz w:val="24"/>
                <w:szCs w:val="24"/>
              </w:rPr>
            </w:pPr>
          </w:p>
        </w:tc>
        <w:tc>
          <w:tcPr>
            <w:tcW w:w="1172" w:type="dxa"/>
            <w:vAlign w:val="center"/>
          </w:tcPr>
          <w:p>
            <w:pPr>
              <w:rPr>
                <w:color w:val="000000" w:themeColor="text1"/>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2</w:t>
            </w:r>
          </w:p>
        </w:tc>
        <w:tc>
          <w:tcPr>
            <w:tcW w:w="3589" w:type="dxa"/>
            <w:vAlign w:val="center"/>
          </w:tcPr>
          <w:p>
            <w:pPr>
              <w:rPr>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3</w:t>
            </w:r>
          </w:p>
        </w:tc>
        <w:tc>
          <w:tcPr>
            <w:tcW w:w="3589" w:type="dxa"/>
            <w:vAlign w:val="center"/>
          </w:tcPr>
          <w:p>
            <w:pPr>
              <w:rPr>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4</w:t>
            </w:r>
          </w:p>
        </w:tc>
        <w:tc>
          <w:tcPr>
            <w:tcW w:w="3589" w:type="dxa"/>
            <w:vAlign w:val="center"/>
          </w:tcPr>
          <w:p>
            <w:pPr>
              <w:rPr>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1"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5</w:t>
            </w:r>
          </w:p>
        </w:tc>
        <w:tc>
          <w:tcPr>
            <w:tcW w:w="3589" w:type="dxa"/>
            <w:vAlign w:val="center"/>
          </w:tcPr>
          <w:p>
            <w:pPr>
              <w:rPr>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7"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6</w:t>
            </w:r>
          </w:p>
        </w:tc>
        <w:tc>
          <w:tcPr>
            <w:tcW w:w="3589" w:type="dxa"/>
            <w:vAlign w:val="center"/>
          </w:tcPr>
          <w:p>
            <w:pPr>
              <w:pStyle w:val="5"/>
              <w:numPr>
                <w:ilvl w:val="0"/>
                <w:numId w:val="0"/>
              </w:numPr>
              <w:spacing w:before="0" w:after="0" w:line="440" w:lineRule="exact"/>
              <w:rPr>
                <w:rFonts w:eastAsia="仿宋_GB2312"/>
                <w:b w:val="0"/>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7" w:hRule="atLeast"/>
          <w:jc w:val="center"/>
        </w:trPr>
        <w:tc>
          <w:tcPr>
            <w:tcW w:w="626" w:type="dxa"/>
            <w:vAlign w:val="center"/>
          </w:tcPr>
          <w:p>
            <w:pPr>
              <w:spacing w:line="360" w:lineRule="auto"/>
              <w:jc w:val="center"/>
              <w:rPr>
                <w:rFonts w:eastAsia="仿宋_GB2312"/>
                <w:color w:val="000000" w:themeColor="text1"/>
                <w:sz w:val="24"/>
              </w:rPr>
            </w:pPr>
            <w:r>
              <w:rPr>
                <w:rFonts w:eastAsia="仿宋_GB2312"/>
                <w:color w:val="000000" w:themeColor="text1"/>
                <w:sz w:val="24"/>
              </w:rPr>
              <w:t>7</w:t>
            </w:r>
          </w:p>
        </w:tc>
        <w:tc>
          <w:tcPr>
            <w:tcW w:w="3589" w:type="dxa"/>
            <w:vAlign w:val="center"/>
          </w:tcPr>
          <w:p>
            <w:pPr>
              <w:pStyle w:val="5"/>
              <w:numPr>
                <w:ilvl w:val="0"/>
                <w:numId w:val="0"/>
              </w:numPr>
              <w:spacing w:before="0" w:after="0" w:line="440" w:lineRule="exact"/>
              <w:rPr>
                <w:rFonts w:eastAsia="仿宋_GB2312"/>
                <w:b w:val="0"/>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jc w:val="center"/>
        </w:trPr>
        <w:tc>
          <w:tcPr>
            <w:tcW w:w="626" w:type="dxa"/>
            <w:vAlign w:val="center"/>
          </w:tcPr>
          <w:p>
            <w:pPr>
              <w:spacing w:line="360" w:lineRule="auto"/>
              <w:jc w:val="center"/>
              <w:rPr>
                <w:rFonts w:eastAsia="仿宋_GB2312"/>
                <w:color w:val="000000" w:themeColor="text1"/>
                <w:sz w:val="24"/>
              </w:rPr>
            </w:pPr>
            <w:r>
              <w:rPr>
                <w:rFonts w:hint="eastAsia" w:eastAsia="仿宋_GB2312"/>
                <w:color w:val="000000" w:themeColor="text1"/>
                <w:sz w:val="24"/>
              </w:rPr>
              <w:t>┋</w:t>
            </w:r>
          </w:p>
        </w:tc>
        <w:tc>
          <w:tcPr>
            <w:tcW w:w="3589" w:type="dxa"/>
            <w:vAlign w:val="center"/>
          </w:tcPr>
          <w:p>
            <w:pPr>
              <w:pStyle w:val="5"/>
              <w:numPr>
                <w:ilvl w:val="0"/>
                <w:numId w:val="0"/>
              </w:numPr>
              <w:spacing w:before="0" w:after="0" w:line="440" w:lineRule="exact"/>
              <w:rPr>
                <w:rFonts w:eastAsia="仿宋_GB2312"/>
                <w:b w:val="0"/>
                <w:color w:val="000000" w:themeColor="text1"/>
                <w:sz w:val="24"/>
                <w:szCs w:val="24"/>
              </w:rPr>
            </w:pP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4215" w:type="dxa"/>
            <w:gridSpan w:val="2"/>
            <w:vAlign w:val="center"/>
          </w:tcPr>
          <w:p>
            <w:pPr>
              <w:jc w:val="center"/>
              <w:rPr>
                <w:color w:val="000000" w:themeColor="text1"/>
                <w:sz w:val="24"/>
                <w:szCs w:val="24"/>
              </w:rPr>
            </w:pPr>
            <w:r>
              <w:rPr>
                <w:rFonts w:hint="eastAsia"/>
                <w:color w:val="000000" w:themeColor="text1"/>
                <w:sz w:val="24"/>
                <w:szCs w:val="24"/>
              </w:rPr>
              <w:t>合计</w:t>
            </w:r>
          </w:p>
        </w:tc>
        <w:tc>
          <w:tcPr>
            <w:tcW w:w="1172" w:type="dxa"/>
            <w:vAlign w:val="center"/>
          </w:tcPr>
          <w:p>
            <w:pPr>
              <w:spacing w:line="440" w:lineRule="exact"/>
              <w:rPr>
                <w:rFonts w:eastAsia="仿宋_GB2312"/>
                <w:color w:val="000000" w:themeColor="text1"/>
                <w:sz w:val="24"/>
              </w:rPr>
            </w:pPr>
          </w:p>
        </w:tc>
        <w:tc>
          <w:tcPr>
            <w:tcW w:w="1790" w:type="dxa"/>
            <w:vAlign w:val="center"/>
          </w:tcPr>
          <w:p>
            <w:pPr>
              <w:spacing w:line="440" w:lineRule="exact"/>
              <w:rPr>
                <w:rFonts w:eastAsia="仿宋_GB2312"/>
                <w:color w:val="000000" w:themeColor="text1"/>
                <w:sz w:val="24"/>
              </w:rPr>
            </w:pPr>
          </w:p>
        </w:tc>
        <w:tc>
          <w:tcPr>
            <w:tcW w:w="1172" w:type="dxa"/>
            <w:vAlign w:val="center"/>
          </w:tcPr>
          <w:p>
            <w:pPr>
              <w:spacing w:line="440" w:lineRule="exact"/>
              <w:rPr>
                <w:rFonts w:eastAsia="仿宋_GB2312"/>
                <w:color w:val="000000" w:themeColor="text1"/>
                <w:sz w:val="24"/>
              </w:rPr>
            </w:pPr>
          </w:p>
        </w:tc>
        <w:tc>
          <w:tcPr>
            <w:tcW w:w="1280" w:type="dxa"/>
            <w:vAlign w:val="center"/>
          </w:tcPr>
          <w:p>
            <w:pPr>
              <w:spacing w:line="440" w:lineRule="exact"/>
              <w:rPr>
                <w:rFonts w:eastAsia="仿宋_GB2312"/>
                <w:color w:val="000000" w:themeColor="text1"/>
                <w:sz w:val="24"/>
              </w:rPr>
            </w:pPr>
          </w:p>
        </w:tc>
      </w:tr>
    </w:tbl>
    <w:p>
      <w:pPr>
        <w:adjustRightInd w:val="0"/>
        <w:snapToGrid w:val="0"/>
        <w:spacing w:line="360" w:lineRule="auto"/>
        <w:rPr>
          <w:rFonts w:ascii="仿宋_GB2312" w:hAnsi="宋体" w:eastAsia="仿宋_GB2312"/>
          <w:color w:val="000000" w:themeColor="text1"/>
          <w:sz w:val="28"/>
          <w:szCs w:val="28"/>
        </w:rPr>
      </w:pPr>
    </w:p>
    <w:p>
      <w:pPr>
        <w:rPr>
          <w:rFonts w:ascii="宋体" w:hAnsi="宋体"/>
          <w:color w:val="000000" w:themeColor="text1"/>
          <w:sz w:val="32"/>
          <w:szCs w:val="32"/>
        </w:rPr>
      </w:pPr>
      <w:bookmarkStart w:id="75" w:name="_Toc193186878"/>
      <w:r>
        <w:rPr>
          <w:rFonts w:hint="eastAsia" w:ascii="宋体" w:hAnsi="宋体"/>
          <w:color w:val="000000" w:themeColor="text1"/>
          <w:sz w:val="32"/>
          <w:szCs w:val="32"/>
        </w:rPr>
        <w:t>投标人：（加盖公章）</w:t>
      </w:r>
      <w:bookmarkEnd w:id="75"/>
    </w:p>
    <w:p>
      <w:pPr>
        <w:adjustRightInd w:val="0"/>
        <w:snapToGrid w:val="0"/>
        <w:spacing w:line="360" w:lineRule="auto"/>
        <w:rPr>
          <w:rFonts w:ascii="仿宋_GB2312" w:hAnsi="宋体" w:eastAsia="仿宋_GB2312"/>
          <w:color w:val="000000" w:themeColor="text1"/>
          <w:sz w:val="28"/>
          <w:szCs w:val="28"/>
        </w:rPr>
      </w:pPr>
    </w:p>
    <w:p>
      <w:pPr>
        <w:rPr>
          <w:color w:val="000000" w:themeColor="text1"/>
          <w:sz w:val="32"/>
          <w:szCs w:val="32"/>
        </w:rPr>
      </w:pPr>
      <w:bookmarkStart w:id="76" w:name="_Toc193186879"/>
      <w:r>
        <w:rPr>
          <w:rFonts w:hint="eastAsia"/>
          <w:color w:val="000000" w:themeColor="text1"/>
          <w:sz w:val="32"/>
          <w:szCs w:val="32"/>
        </w:rPr>
        <w:t>法定代表人或其委托代理人：（签字）</w:t>
      </w:r>
      <w:bookmarkEnd w:id="76"/>
    </w:p>
    <w:p>
      <w:pPr>
        <w:adjustRightInd w:val="0"/>
        <w:snapToGrid w:val="0"/>
        <w:spacing w:line="360" w:lineRule="auto"/>
        <w:rPr>
          <w:rFonts w:ascii="仿宋_GB2312" w:hAnsi="宋体" w:eastAsia="仿宋_GB2312"/>
          <w:color w:val="000000" w:themeColor="text1"/>
          <w:sz w:val="28"/>
          <w:szCs w:val="28"/>
        </w:rPr>
      </w:pPr>
    </w:p>
    <w:p>
      <w:pPr>
        <w:spacing w:line="360" w:lineRule="auto"/>
        <w:rPr>
          <w:rFonts w:ascii="宋体" w:hAnsi="宋体"/>
          <w:color w:val="000000" w:themeColor="text1"/>
          <w:sz w:val="24"/>
        </w:rPr>
      </w:pPr>
      <w:r>
        <w:rPr>
          <w:rFonts w:ascii="宋体" w:hAnsi="宋体"/>
          <w:color w:val="000000" w:themeColor="text1"/>
          <w:sz w:val="24"/>
        </w:rPr>
        <w:t>注：（1）本投标分项报价表的投标价格应和</w:t>
      </w:r>
      <w:r>
        <w:rPr>
          <w:rFonts w:hint="eastAsia" w:ascii="宋体" w:hAnsi="宋体"/>
          <w:color w:val="000000" w:themeColor="text1"/>
          <w:sz w:val="24"/>
        </w:rPr>
        <w:t>投</w:t>
      </w:r>
      <w:r>
        <w:rPr>
          <w:rFonts w:ascii="宋体" w:hAnsi="宋体"/>
          <w:color w:val="000000" w:themeColor="text1"/>
          <w:sz w:val="24"/>
        </w:rPr>
        <w:t>标</w:t>
      </w:r>
      <w:r>
        <w:rPr>
          <w:rFonts w:hint="eastAsia" w:ascii="宋体" w:hAnsi="宋体"/>
          <w:color w:val="000000" w:themeColor="text1"/>
          <w:sz w:val="24"/>
        </w:rPr>
        <w:t>报价</w:t>
      </w:r>
      <w:r>
        <w:rPr>
          <w:rFonts w:ascii="宋体" w:hAnsi="宋体"/>
          <w:color w:val="000000" w:themeColor="text1"/>
          <w:sz w:val="24"/>
        </w:rPr>
        <w:t>表的投标价格一致；如不一致，以</w:t>
      </w:r>
      <w:r>
        <w:rPr>
          <w:rFonts w:hint="eastAsia" w:ascii="宋体" w:hAnsi="宋体"/>
          <w:color w:val="000000" w:themeColor="text1"/>
          <w:sz w:val="24"/>
        </w:rPr>
        <w:t>投</w:t>
      </w:r>
      <w:r>
        <w:rPr>
          <w:rFonts w:ascii="宋体" w:hAnsi="宋体"/>
          <w:color w:val="000000" w:themeColor="text1"/>
          <w:sz w:val="24"/>
        </w:rPr>
        <w:t>标</w:t>
      </w:r>
      <w:r>
        <w:rPr>
          <w:rFonts w:hint="eastAsia" w:ascii="宋体" w:hAnsi="宋体"/>
          <w:color w:val="000000" w:themeColor="text1"/>
          <w:sz w:val="24"/>
        </w:rPr>
        <w:t>报价</w:t>
      </w:r>
      <w:r>
        <w:rPr>
          <w:rFonts w:ascii="宋体" w:hAnsi="宋体"/>
          <w:color w:val="000000" w:themeColor="text1"/>
          <w:sz w:val="24"/>
        </w:rPr>
        <w:t>表为准</w:t>
      </w:r>
      <w:r>
        <w:rPr>
          <w:rFonts w:hint="eastAsia" w:ascii="宋体" w:hAnsi="宋体"/>
          <w:color w:val="000000" w:themeColor="text1"/>
          <w:sz w:val="24"/>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（2）如果不提供详细分项报价将视为没有实质性响应招标文件</w:t>
      </w:r>
      <w:r>
        <w:rPr>
          <w:rFonts w:hint="eastAsia" w:ascii="宋体" w:hAnsi="宋体"/>
          <w:color w:val="000000" w:themeColor="text1"/>
          <w:sz w:val="24"/>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投标人可根据实际情况对分项报价表进行调整；</w:t>
      </w:r>
    </w:p>
    <w:p>
      <w:pPr>
        <w:rPr>
          <w:rFonts w:ascii="宋体" w:hAnsi="宋体"/>
          <w:b/>
          <w:bCs/>
          <w:color w:val="FF0000"/>
          <w:sz w:val="24"/>
        </w:rPr>
      </w:pPr>
      <w:r>
        <w:rPr>
          <w:rFonts w:hint="eastAsia" w:ascii="宋体" w:hAnsi="宋体"/>
          <w:b/>
          <w:bCs/>
          <w:color w:val="FF0000"/>
          <w:sz w:val="24"/>
        </w:rPr>
        <w:t>注意：如为联合体投标，由联合体牵头单位签字盖章。</w:t>
      </w:r>
    </w:p>
    <w:p>
      <w:pPr>
        <w:pStyle w:val="2"/>
        <w:ind w:firstLine="560"/>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77" w:name="_Toc42206700"/>
      <w:bookmarkStart w:id="78" w:name="_Toc414384927"/>
      <w:r>
        <w:rPr>
          <w:rFonts w:hint="eastAsia" w:ascii="黑体" w:hAnsi="黑体"/>
          <w:bCs w:val="0"/>
          <w:color w:val="000000" w:themeColor="text1"/>
          <w:sz w:val="36"/>
          <w:szCs w:val="36"/>
        </w:rPr>
        <w:t>三、投标函</w:t>
      </w:r>
      <w:bookmarkEnd w:id="77"/>
      <w:bookmarkEnd w:id="78"/>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致</w:t>
      </w:r>
      <w:r>
        <w:rPr>
          <w:rFonts w:ascii="宋体" w:hAnsi="宋体"/>
          <w:color w:val="000000" w:themeColor="text1"/>
          <w:sz w:val="24"/>
          <w:u w:val="single"/>
        </w:rPr>
        <w:t xml:space="preserve">      （</w:t>
      </w:r>
      <w:r>
        <w:rPr>
          <w:rFonts w:hint="eastAsia" w:ascii="宋体" w:hAnsi="宋体"/>
          <w:color w:val="000000" w:themeColor="text1"/>
          <w:sz w:val="24"/>
          <w:u w:val="single"/>
        </w:rPr>
        <w:t>采购人）</w:t>
      </w:r>
      <w:r>
        <w:rPr>
          <w:rFonts w:hint="eastAsia" w:ascii="宋体" w:hAnsi="宋体"/>
          <w:color w:val="000000" w:themeColor="text1"/>
          <w:sz w:val="24"/>
        </w:rPr>
        <w:t>：</w:t>
      </w:r>
    </w:p>
    <w:p>
      <w:pPr>
        <w:tabs>
          <w:tab w:val="left" w:pos="1325"/>
          <w:tab w:val="left" w:pos="7560"/>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1、我方接受贵方编号为的项目招标文件要求完成相关工作任务，并承担因迟延履行或工作失误等引起的一切责任。</w:t>
      </w:r>
    </w:p>
    <w:p>
      <w:pPr>
        <w:tabs>
          <w:tab w:val="left" w:pos="1325"/>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2、我方对该项目招标文件（包括修改文件及有关附件）完全理解，并承诺在发生争议时，不会以对招标文件存在误解、不明为由，向贵方行使任何法律上的抗辩权。</w:t>
      </w:r>
    </w:p>
    <w:p>
      <w:pPr>
        <w:tabs>
          <w:tab w:val="left" w:pos="1325"/>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3、我方投标文件有效期为自开标日起</w:t>
      </w:r>
      <w:r>
        <w:rPr>
          <w:rFonts w:ascii="宋体" w:hAnsi="宋体"/>
          <w:color w:val="000000" w:themeColor="text1"/>
          <w:sz w:val="24"/>
          <w:u w:val="single"/>
        </w:rPr>
        <w:t>45</w:t>
      </w:r>
      <w:r>
        <w:rPr>
          <w:rFonts w:hint="eastAsia" w:ascii="宋体" w:hAnsi="宋体"/>
          <w:color w:val="000000" w:themeColor="text1"/>
          <w:sz w:val="24"/>
        </w:rPr>
        <w:t>个日历日，若中标，则投标有效期自动延续至合同履行完毕为止。</w:t>
      </w:r>
    </w:p>
    <w:p>
      <w:pPr>
        <w:tabs>
          <w:tab w:val="left" w:pos="1325"/>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4、若我方中标，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tabs>
          <w:tab w:val="left" w:pos="1325"/>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5、我方承诺，中标后接受贵方提出的合同价格和分配的工作任务。</w:t>
      </w:r>
    </w:p>
    <w:p>
      <w:pPr>
        <w:tabs>
          <w:tab w:val="left" w:pos="1325"/>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6、我方承诺中标后，在项目执行期间，不随意更换项目经理和其他技术人员。</w:t>
      </w:r>
    </w:p>
    <w:p>
      <w:pPr>
        <w:tabs>
          <w:tab w:val="left" w:pos="1325"/>
        </w:tabs>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7、我方承诺投标文件的所有内容真实准确，不存在任何虚假之处，否则，评标委员会可将我方的投标文件按照无效投标文件处理，即使我方已中标，中标结果无效，对于因此给其他投标人及你方造成的全部损失，我方同意无条件予以赔偿。</w:t>
      </w:r>
    </w:p>
    <w:p>
      <w:pPr>
        <w:adjustRightInd w:val="0"/>
        <w:snapToGrid w:val="0"/>
        <w:spacing w:line="360" w:lineRule="auto"/>
        <w:ind w:firstLine="480" w:firstLineChars="200"/>
        <w:rPr>
          <w:rFonts w:ascii="宋体" w:hAnsi="宋体"/>
          <w:color w:val="000000" w:themeColor="text1"/>
          <w:sz w:val="24"/>
        </w:rPr>
      </w:pP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投标人（盖章）：</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法定代表人或其委托代理人（签字或盖章）：</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开户银行名称：</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开户银行帐号：</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开户银行地址：</w:t>
      </w:r>
    </w:p>
    <w:p>
      <w:pPr>
        <w:adjustRightInd w:val="0"/>
        <w:snapToGrid w:val="0"/>
        <w:spacing w:line="360" w:lineRule="auto"/>
        <w:ind w:firstLine="480" w:firstLineChars="200"/>
        <w:jc w:val="right"/>
        <w:rPr>
          <w:rFonts w:ascii="宋体" w:hAnsi="宋体"/>
          <w:color w:val="000000" w:themeColor="text1"/>
          <w:sz w:val="24"/>
        </w:rPr>
      </w:pPr>
    </w:p>
    <w:p>
      <w:pPr>
        <w:adjustRightInd w:val="0"/>
        <w:snapToGrid w:val="0"/>
        <w:spacing w:line="360" w:lineRule="auto"/>
        <w:ind w:firstLine="480" w:firstLineChars="200"/>
        <w:jc w:val="right"/>
        <w:rPr>
          <w:rFonts w:ascii="宋体" w:hAnsi="宋体"/>
          <w:color w:val="000000" w:themeColor="text1"/>
          <w:sz w:val="24"/>
        </w:rPr>
      </w:pPr>
      <w:r>
        <w:rPr>
          <w:rFonts w:hint="eastAsia" w:ascii="宋体" w:hAnsi="宋体"/>
          <w:color w:val="000000" w:themeColor="text1"/>
          <w:sz w:val="24"/>
        </w:rPr>
        <w:t>日期：年月日</w:t>
      </w:r>
    </w:p>
    <w:p>
      <w:pPr>
        <w:adjustRightInd w:val="0"/>
        <w:snapToGrid w:val="0"/>
        <w:ind w:firstLine="480" w:firstLineChars="200"/>
        <w:jc w:val="right"/>
        <w:rPr>
          <w:rFonts w:ascii="宋体" w:hAnsi="宋体"/>
          <w:color w:val="000000" w:themeColor="text1"/>
          <w:sz w:val="24"/>
        </w:rPr>
      </w:pPr>
    </w:p>
    <w:p>
      <w:pPr>
        <w:adjustRightInd w:val="0"/>
        <w:snapToGrid w:val="0"/>
        <w:ind w:right="480"/>
        <w:rPr>
          <w:rFonts w:ascii="宋体" w:hAnsi="宋体"/>
          <w:b/>
          <w:bCs/>
          <w:color w:val="FF0000"/>
          <w:sz w:val="24"/>
        </w:rPr>
      </w:pPr>
      <w:r>
        <w:rPr>
          <w:rFonts w:hint="eastAsia" w:ascii="宋体" w:hAnsi="宋体"/>
          <w:b/>
          <w:bCs/>
          <w:color w:val="FF0000"/>
          <w:sz w:val="24"/>
        </w:rPr>
        <w:t>注意：如为联合体投标，由联合体牵头单位签字盖章。</w:t>
      </w:r>
    </w:p>
    <w:p>
      <w:pPr>
        <w:adjustRightInd w:val="0"/>
        <w:snapToGrid w:val="0"/>
        <w:spacing w:line="360" w:lineRule="auto"/>
        <w:jc w:val="center"/>
        <w:rPr>
          <w:rFonts w:ascii="华文中宋" w:hAnsi="华文中宋" w:eastAsia="华文中宋"/>
          <w:b/>
          <w:bCs/>
          <w:color w:val="000000" w:themeColor="text1"/>
          <w:sz w:val="36"/>
          <w:szCs w:val="36"/>
        </w:rPr>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79" w:name="_Toc414384928"/>
      <w:bookmarkStart w:id="80" w:name="_Toc42206701"/>
      <w:r>
        <w:rPr>
          <w:rFonts w:hint="eastAsia" w:ascii="黑体" w:hAnsi="黑体"/>
          <w:bCs w:val="0"/>
          <w:color w:val="000000" w:themeColor="text1"/>
          <w:sz w:val="36"/>
          <w:szCs w:val="36"/>
        </w:rPr>
        <w:t>四、授权委托书</w:t>
      </w:r>
      <w:bookmarkEnd w:id="79"/>
      <w:bookmarkEnd w:id="80"/>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本授权委托书声明：我（姓名）系（投标人）的法定代表人，现授权委托（单位</w:t>
      </w:r>
      <w:r>
        <w:rPr>
          <w:rFonts w:ascii="宋体" w:hAnsi="宋体"/>
          <w:color w:val="000000" w:themeColor="text1"/>
          <w:sz w:val="28"/>
          <w:szCs w:val="28"/>
        </w:rPr>
        <w:t>/</w:t>
      </w:r>
      <w:r>
        <w:rPr>
          <w:rFonts w:hint="eastAsia" w:ascii="宋体" w:hAnsi="宋体"/>
          <w:color w:val="000000" w:themeColor="text1"/>
          <w:sz w:val="28"/>
          <w:szCs w:val="28"/>
        </w:rPr>
        <w:t>部门名称）的（姓名）（身份证或其他身份证件号码：）为我单位代理人，以本单位的名义参加项目的投标活动。代理人在开标、评标、谈判过程中所签署的一切文件和处理与之有关的一切事务，均代表本单位行为，与本人的行为具有同等法律效力。本公司将承担代理人行为的一切及全部法律责任和后果。</w:t>
      </w:r>
    </w:p>
    <w:p>
      <w:pPr>
        <w:spacing w:line="360" w:lineRule="auto"/>
        <w:ind w:firstLine="560" w:firstLineChars="200"/>
        <w:rPr>
          <w:rFonts w:ascii="宋体" w:hAnsi="宋体"/>
          <w:color w:val="000000" w:themeColor="text1"/>
          <w:sz w:val="28"/>
          <w:szCs w:val="28"/>
        </w:rPr>
      </w:pPr>
      <w:r>
        <w:rPr>
          <w:rFonts w:ascii="宋体" w:hAnsi="宋体"/>
          <w:color w:val="000000" w:themeColor="text1"/>
          <w:sz w:val="28"/>
          <w:szCs w:val="28"/>
        </w:rPr>
        <w:t>代理人无转委权。特此委托。</w:t>
      </w:r>
    </w:p>
    <w:p>
      <w:pPr>
        <w:pStyle w:val="21"/>
        <w:ind w:firstLine="560"/>
        <w:rPr>
          <w:rFonts w:hAnsi="宋体"/>
          <w:color w:val="000000" w:themeColor="text1"/>
          <w:sz w:val="28"/>
          <w:szCs w:val="28"/>
        </w:rPr>
      </w:pPr>
    </w:p>
    <w:p>
      <w:pPr>
        <w:pStyle w:val="21"/>
        <w:ind w:firstLine="560"/>
        <w:rPr>
          <w:rFonts w:hAnsi="宋体"/>
          <w:color w:val="000000" w:themeColor="text1"/>
          <w:sz w:val="28"/>
          <w:szCs w:val="28"/>
        </w:rPr>
      </w:pPr>
      <w:r>
        <w:rPr>
          <w:rFonts w:hAnsi="宋体"/>
          <w:color w:val="000000" w:themeColor="text1"/>
          <w:sz w:val="28"/>
          <w:szCs w:val="28"/>
        </w:rPr>
        <w:t>代理人</w:t>
      </w:r>
      <w:r>
        <w:rPr>
          <w:rFonts w:hint="eastAsia" w:hAnsi="宋体"/>
          <w:color w:val="000000" w:themeColor="text1"/>
          <w:sz w:val="28"/>
          <w:szCs w:val="28"/>
        </w:rPr>
        <w:t>姓名</w:t>
      </w:r>
      <w:r>
        <w:rPr>
          <w:rFonts w:hAnsi="宋体"/>
          <w:color w:val="000000" w:themeColor="text1"/>
          <w:sz w:val="28"/>
          <w:szCs w:val="28"/>
        </w:rPr>
        <w:t>：性别：年龄：职务：</w:t>
      </w:r>
    </w:p>
    <w:p>
      <w:pPr>
        <w:pStyle w:val="21"/>
        <w:ind w:firstLine="560"/>
        <w:rPr>
          <w:rFonts w:hAnsi="宋体"/>
          <w:color w:val="000000" w:themeColor="text1"/>
          <w:sz w:val="28"/>
          <w:szCs w:val="28"/>
        </w:rPr>
      </w:pPr>
    </w:p>
    <w:p>
      <w:pPr>
        <w:pStyle w:val="21"/>
        <w:ind w:firstLine="560"/>
        <w:rPr>
          <w:rFonts w:hAnsi="宋体"/>
          <w:color w:val="000000" w:themeColor="text1"/>
          <w:sz w:val="28"/>
          <w:szCs w:val="28"/>
        </w:rPr>
      </w:pPr>
      <w:r>
        <w:rPr>
          <w:rFonts w:hAnsi="宋体"/>
          <w:color w:val="000000" w:themeColor="text1"/>
          <w:sz w:val="28"/>
          <w:szCs w:val="28"/>
        </w:rPr>
        <w:t>代理人签字样本：</w:t>
      </w:r>
    </w:p>
    <w:p>
      <w:pPr>
        <w:pStyle w:val="21"/>
        <w:ind w:firstLine="560"/>
        <w:rPr>
          <w:rFonts w:hAnsi="宋体"/>
          <w:color w:val="000000" w:themeColor="text1"/>
          <w:sz w:val="28"/>
          <w:szCs w:val="28"/>
        </w:rPr>
      </w:pPr>
    </w:p>
    <w:p>
      <w:pPr>
        <w:pStyle w:val="21"/>
        <w:ind w:firstLine="560"/>
        <w:rPr>
          <w:rFonts w:hAnsi="宋体"/>
          <w:color w:val="000000" w:themeColor="text1"/>
          <w:sz w:val="28"/>
          <w:szCs w:val="28"/>
        </w:rPr>
      </w:pPr>
      <w:r>
        <w:rPr>
          <w:rFonts w:hAnsi="宋体"/>
          <w:color w:val="000000" w:themeColor="text1"/>
          <w:sz w:val="28"/>
          <w:szCs w:val="28"/>
        </w:rPr>
        <w:t xml:space="preserve">投标人（盖章）： </w:t>
      </w:r>
    </w:p>
    <w:p>
      <w:pPr>
        <w:pStyle w:val="21"/>
        <w:ind w:firstLine="560"/>
        <w:rPr>
          <w:rFonts w:hAnsi="宋体"/>
          <w:color w:val="000000" w:themeColor="text1"/>
          <w:sz w:val="28"/>
          <w:szCs w:val="28"/>
        </w:rPr>
      </w:pPr>
    </w:p>
    <w:p>
      <w:pPr>
        <w:pStyle w:val="21"/>
        <w:ind w:firstLine="560"/>
        <w:rPr>
          <w:rFonts w:hAnsi="宋体"/>
          <w:color w:val="000000" w:themeColor="text1"/>
          <w:sz w:val="28"/>
          <w:szCs w:val="28"/>
        </w:rPr>
      </w:pPr>
      <w:r>
        <w:rPr>
          <w:rFonts w:hAnsi="宋体"/>
          <w:color w:val="000000" w:themeColor="text1"/>
          <w:sz w:val="28"/>
          <w:szCs w:val="28"/>
        </w:rPr>
        <w:t>法定代表人（签字</w:t>
      </w:r>
      <w:r>
        <w:rPr>
          <w:rFonts w:hint="eastAsia" w:hAnsi="宋体"/>
          <w:color w:val="000000" w:themeColor="text1"/>
          <w:sz w:val="28"/>
          <w:szCs w:val="28"/>
        </w:rPr>
        <w:t>或印章</w:t>
      </w:r>
      <w:r>
        <w:rPr>
          <w:rFonts w:hAnsi="宋体"/>
          <w:color w:val="000000" w:themeColor="text1"/>
          <w:sz w:val="28"/>
          <w:szCs w:val="28"/>
        </w:rPr>
        <w:t>）：</w:t>
      </w:r>
    </w:p>
    <w:p>
      <w:pPr>
        <w:rPr>
          <w:rFonts w:ascii="宋体" w:hAnsi="宋体"/>
          <w:color w:val="000000" w:themeColor="text1"/>
          <w:sz w:val="28"/>
          <w:szCs w:val="28"/>
        </w:rPr>
      </w:pPr>
    </w:p>
    <w:p>
      <w:pPr>
        <w:rPr>
          <w:rFonts w:ascii="宋体" w:hAnsi="宋体"/>
          <w:color w:val="000000" w:themeColor="text1"/>
          <w:sz w:val="28"/>
          <w:szCs w:val="28"/>
        </w:rPr>
      </w:pPr>
    </w:p>
    <w:p>
      <w:pPr>
        <w:pStyle w:val="21"/>
        <w:ind w:firstLine="1862" w:firstLineChars="665"/>
        <w:rPr>
          <w:rFonts w:hAnsi="宋体"/>
          <w:color w:val="000000" w:themeColor="text1"/>
          <w:sz w:val="28"/>
          <w:szCs w:val="28"/>
        </w:rPr>
      </w:pPr>
      <w:r>
        <w:rPr>
          <w:rFonts w:hint="eastAsia" w:hAnsi="宋体"/>
          <w:color w:val="000000" w:themeColor="text1"/>
          <w:sz w:val="28"/>
          <w:szCs w:val="28"/>
        </w:rPr>
        <w:t>年  月    日</w:t>
      </w:r>
    </w:p>
    <w:p>
      <w:pPr>
        <w:pStyle w:val="21"/>
        <w:ind w:firstLine="1862" w:firstLineChars="665"/>
        <w:rPr>
          <w:rFonts w:hAnsi="宋体"/>
          <w:color w:val="000000" w:themeColor="text1"/>
          <w:sz w:val="28"/>
          <w:szCs w:val="28"/>
        </w:rPr>
      </w:pPr>
    </w:p>
    <w:p>
      <w:pPr>
        <w:spacing w:line="360" w:lineRule="auto"/>
        <w:rPr>
          <w:rFonts w:eastAsia="仿宋_GB2312"/>
          <w:color w:val="000000" w:themeColor="text1"/>
          <w:sz w:val="44"/>
        </w:rPr>
      </w:pPr>
      <w:r>
        <w:rPr>
          <w:rFonts w:hint="eastAsia" w:ascii="宋体" w:hAnsi="宋体"/>
          <w:b/>
          <w:bCs/>
          <w:color w:val="FF0000"/>
          <w:sz w:val="24"/>
        </w:rPr>
        <w:t>注意：如为联合体投标，由联合体牵头单位签字盖章。</w:t>
      </w:r>
    </w:p>
    <w:p>
      <w:pPr>
        <w:adjustRightInd w:val="0"/>
        <w:snapToGrid w:val="0"/>
        <w:ind w:firstLine="480" w:firstLineChars="200"/>
        <w:jc w:val="right"/>
        <w:rPr>
          <w:rFonts w:ascii="宋体" w:hAnsi="宋体"/>
          <w:color w:val="000000" w:themeColor="text1"/>
          <w:sz w:val="24"/>
        </w:rPr>
      </w:pPr>
    </w:p>
    <w:p>
      <w:pPr>
        <w:adjustRightInd w:val="0"/>
        <w:snapToGrid w:val="0"/>
        <w:ind w:firstLine="480" w:firstLineChars="200"/>
        <w:jc w:val="right"/>
        <w:rPr>
          <w:rFonts w:ascii="宋体" w:hAnsi="宋体"/>
          <w:color w:val="000000" w:themeColor="text1"/>
          <w:sz w:val="24"/>
        </w:rPr>
      </w:pPr>
    </w:p>
    <w:p>
      <w:pPr>
        <w:pStyle w:val="4"/>
        <w:widowControl/>
        <w:adjustRightInd w:val="0"/>
        <w:snapToGrid w:val="0"/>
        <w:spacing w:before="0" w:after="100" w:afterAutospacing="1" w:line="240" w:lineRule="auto"/>
        <w:jc w:val="left"/>
        <w:rPr>
          <w:rFonts w:ascii="黑体" w:hAnsi="黑体" w:eastAsia="微软雅黑"/>
          <w:color w:val="000000" w:themeColor="text1"/>
          <w:sz w:val="36"/>
          <w:szCs w:val="36"/>
        </w:rPr>
      </w:pPr>
      <w:bookmarkStart w:id="81" w:name="_Toc193186880"/>
      <w:bookmarkStart w:id="82" w:name="_Toc175555768"/>
      <w:bookmarkStart w:id="83" w:name="_Toc123273037"/>
      <w:r>
        <w:rPr>
          <w:rFonts w:ascii="微软雅黑" w:hAnsi="微软雅黑" w:eastAsia="微软雅黑"/>
          <w:color w:val="000000" w:themeColor="text1"/>
          <w:sz w:val="44"/>
          <w:szCs w:val="44"/>
        </w:rPr>
        <w:br w:type="page"/>
      </w:r>
      <w:bookmarkStart w:id="84" w:name="_Toc42206702"/>
      <w:r>
        <w:rPr>
          <w:rFonts w:hint="eastAsia" w:ascii="黑体" w:hAnsi="黑体" w:eastAsia="微软雅黑"/>
          <w:bCs w:val="0"/>
          <w:color w:val="000000" w:themeColor="text1"/>
          <w:sz w:val="36"/>
          <w:szCs w:val="36"/>
        </w:rPr>
        <w:t>五、联合协议（如需要）</w:t>
      </w:r>
      <w:bookmarkEnd w:id="84"/>
    </w:p>
    <w:p>
      <w:pPr>
        <w:spacing w:line="360" w:lineRule="auto"/>
        <w:ind w:firstLine="560" w:firstLineChars="200"/>
        <w:rPr>
          <w:rFonts w:ascii="宋体" w:hAnsi="宋体"/>
          <w:color w:val="000000" w:themeColor="text1"/>
          <w:sz w:val="28"/>
          <w:szCs w:val="28"/>
        </w:rPr>
      </w:pPr>
      <w:r>
        <w:rPr>
          <w:rFonts w:hint="eastAsia" w:ascii="宋体" w:hAnsi="宋体"/>
          <w:color w:val="000000" w:themeColor="text1"/>
          <w:sz w:val="28"/>
          <w:szCs w:val="28"/>
        </w:rPr>
        <w:t>（如为联合体投标的应提供联合协议，联合协议须载明联合体各方承担的工作和义务）</w:t>
      </w:r>
    </w:p>
    <w:p>
      <w:pPr>
        <w:topLinePunct/>
        <w:spacing w:line="360" w:lineRule="auto"/>
        <w:ind w:firstLine="480" w:firstLineChars="200"/>
        <w:rPr>
          <w:rFonts w:ascii="宋体" w:hAnsi="宋体" w:cs="宋体"/>
          <w:sz w:val="24"/>
          <w:szCs w:val="24"/>
        </w:rPr>
      </w:pPr>
      <w:r>
        <w:rPr>
          <w:rFonts w:hint="eastAsia" w:ascii="宋体" w:hAnsi="宋体" w:cs="宋体"/>
          <w:sz w:val="24"/>
          <w:szCs w:val="24"/>
        </w:rPr>
        <w:t>（所有成员单位名称）自愿组成（联合体名称）联合体，共同参加</w:t>
      </w:r>
      <w:r>
        <w:rPr>
          <w:rFonts w:ascii="宋体" w:hAnsi="宋体" w:cs="宋体"/>
          <w:sz w:val="24"/>
          <w:szCs w:val="24"/>
        </w:rPr>
        <w:t xml:space="preserve"> </w:t>
      </w:r>
      <w:r>
        <w:rPr>
          <w:rFonts w:hint="eastAsia" w:ascii="宋体" w:hAnsi="宋体" w:cs="宋体"/>
          <w:sz w:val="24"/>
          <w:szCs w:val="24"/>
        </w:rPr>
        <w:t>（项目名称）投标。现就联合体投标事宜订立如下协议。</w:t>
      </w:r>
    </w:p>
    <w:p>
      <w:pPr>
        <w:topLinePunct/>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（某成员单位名称）为（联合体名称）联合体牵头人。</w:t>
      </w:r>
    </w:p>
    <w:p>
      <w:pPr>
        <w:topLinePunct/>
        <w:spacing w:line="360" w:lineRule="auto"/>
        <w:ind w:firstLine="480" w:firstLineChars="200"/>
        <w:rPr>
          <w:rFonts w:ascii="宋体" w:hAnsi="宋体" w:cs="宋体"/>
          <w:sz w:val="24"/>
          <w:szCs w:val="24"/>
        </w:rPr>
      </w:pPr>
      <w:r>
        <w:rPr>
          <w:rFonts w:ascii="宋体" w:hAnsi="宋体" w:cs="宋体"/>
          <w:sz w:val="24"/>
          <w:szCs w:val="24"/>
        </w:rPr>
        <w:t>2、联合体各成员授权牵头人代表联合体参加投标活动，签署文件，提交和接收相</w:t>
      </w:r>
      <w:bookmarkStart w:id="85" w:name="_Toc152042579"/>
      <w:bookmarkStart w:id="86" w:name="_Toc152045790"/>
      <w:bookmarkStart w:id="87" w:name="_Toc247527830"/>
      <w:bookmarkStart w:id="88" w:name="_Toc384308378"/>
      <w:bookmarkStart w:id="89" w:name="_Toc361508755"/>
      <w:bookmarkStart w:id="90" w:name="_Toc144974859"/>
      <w:bookmarkStart w:id="91" w:name="_Toc300835212"/>
      <w:bookmarkStart w:id="92" w:name="_Toc247514249"/>
      <w:r>
        <w:rPr>
          <w:rFonts w:hint="eastAsia" w:ascii="宋体" w:hAnsi="宋体" w:cs="宋体"/>
          <w:sz w:val="24"/>
          <w:szCs w:val="24"/>
        </w:rPr>
        <w:t>关的</w:t>
      </w:r>
      <w:bookmarkStart w:id="93" w:name="_Toc7749"/>
      <w:bookmarkStart w:id="94" w:name="_Toc352691664"/>
      <w:bookmarkStart w:id="95" w:name="_Toc369531700"/>
      <w:r>
        <w:rPr>
          <w:rFonts w:hint="eastAsia" w:ascii="宋体" w:hAnsi="宋体" w:cs="宋体"/>
          <w:sz w:val="24"/>
          <w:szCs w:val="24"/>
        </w:rPr>
        <w:t>资料、信息及</w:t>
      </w:r>
      <w:bookmarkEnd w:id="93"/>
      <w:bookmarkEnd w:id="94"/>
      <w:bookmarkEnd w:id="95"/>
      <w:r>
        <w:rPr>
          <w:rFonts w:hint="eastAsia" w:ascii="宋体" w:hAnsi="宋体" w:cs="宋体"/>
          <w:sz w:val="24"/>
          <w:szCs w:val="24"/>
        </w:rPr>
        <w:t>指</w:t>
      </w:r>
      <w:bookmarkEnd w:id="85"/>
      <w:bookmarkEnd w:id="86"/>
      <w:bookmarkEnd w:id="87"/>
      <w:bookmarkEnd w:id="88"/>
      <w:bookmarkEnd w:id="89"/>
      <w:bookmarkEnd w:id="90"/>
      <w:bookmarkEnd w:id="91"/>
      <w:bookmarkEnd w:id="92"/>
      <w:r>
        <w:rPr>
          <w:rFonts w:hint="eastAsia" w:ascii="宋体" w:hAnsi="宋体" w:cs="宋体"/>
          <w:sz w:val="24"/>
          <w:szCs w:val="24"/>
        </w:rPr>
        <w:t>示，进行合同谈判活动，负责合同实施阶段的组织和协调工作，以及处理与本招标项目有关的一切事宜。</w:t>
      </w:r>
    </w:p>
    <w:p>
      <w:pPr>
        <w:topLinePunct/>
        <w:spacing w:line="360" w:lineRule="auto"/>
        <w:ind w:firstLine="480" w:firstLineChars="200"/>
        <w:rPr>
          <w:rFonts w:ascii="宋体" w:hAnsi="宋体" w:cs="宋体"/>
          <w:sz w:val="24"/>
          <w:szCs w:val="24"/>
        </w:rPr>
      </w:pPr>
      <w:r>
        <w:rPr>
          <w:rFonts w:ascii="宋体" w:hAnsi="宋体" w:cs="宋体"/>
          <w:sz w:val="24"/>
          <w:szCs w:val="24"/>
        </w:rPr>
        <w:t>3、</w:t>
      </w:r>
      <w:bookmarkStart w:id="96" w:name="_Toc369531701"/>
      <w:bookmarkStart w:id="97" w:name="_Toc152045791"/>
      <w:bookmarkStart w:id="98" w:name="_Toc361508756"/>
      <w:bookmarkStart w:id="99" w:name="_Toc247514283"/>
      <w:bookmarkStart w:id="100" w:name="_Toc27930"/>
      <w:bookmarkStart w:id="101" w:name="_Toc144974860"/>
      <w:bookmarkStart w:id="102" w:name="_Toc300835213"/>
      <w:bookmarkStart w:id="103" w:name="_Toc247527831"/>
      <w:bookmarkStart w:id="104" w:name="_Toc152042580"/>
      <w:bookmarkStart w:id="105" w:name="_Toc352691665"/>
      <w:bookmarkStart w:id="106" w:name="_Toc384308380"/>
      <w:r>
        <w:rPr>
          <w:rFonts w:hint="eastAsia" w:ascii="宋体" w:hAnsi="宋体" w:cs="宋体"/>
          <w:sz w:val="24"/>
          <w:szCs w:val="24"/>
        </w:rPr>
        <w:t>联合体牵头人在本项目中签署的一切文件和处理</w:t>
      </w:r>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sz w:val="24"/>
          <w:szCs w:val="24"/>
        </w:rPr>
        <w:t>的一切事宜，联合体各成员均予以承认。联合体各成员将严格按照招标文件、投标文件和合同的要求全面履行义务，并向招标人承担连带责任。</w:t>
      </w:r>
    </w:p>
    <w:p>
      <w:pPr>
        <w:snapToGrid w:val="0"/>
        <w:spacing w:line="360" w:lineRule="auto"/>
        <w:ind w:firstLine="480"/>
        <w:rPr>
          <w:rFonts w:ascii="宋体" w:hAnsi="宋体" w:cs="宋体"/>
          <w:sz w:val="24"/>
          <w:szCs w:val="24"/>
        </w:rPr>
      </w:pPr>
      <w:r>
        <w:rPr>
          <w:rFonts w:ascii="宋体" w:hAnsi="宋体" w:cs="宋体"/>
          <w:sz w:val="24"/>
          <w:szCs w:val="24"/>
        </w:rPr>
        <w:t>4、联合体各成员单位内部的职责分工如下：</w:t>
      </w:r>
      <w:r>
        <w:rPr>
          <w:rFonts w:hint="eastAsia" w:ascii="宋体" w:hAnsi="宋体" w:cs="宋体"/>
          <w:sz w:val="24"/>
          <w:szCs w:val="24"/>
          <w:u w:val="single"/>
        </w:rPr>
        <w:t>（此处必须明确哪一方承担地下水水质检测任务）</w:t>
      </w:r>
      <w:r>
        <w:rPr>
          <w:rFonts w:hint="eastAsia" w:ascii="宋体" w:hAnsi="宋体" w:cs="宋体"/>
          <w:sz w:val="24"/>
          <w:szCs w:val="24"/>
        </w:rPr>
        <w:t>。</w:t>
      </w:r>
    </w:p>
    <w:p>
      <w:pPr>
        <w:topLinePunct/>
        <w:spacing w:line="360" w:lineRule="auto"/>
        <w:ind w:firstLine="480" w:firstLineChars="200"/>
        <w:rPr>
          <w:rFonts w:ascii="宋体" w:hAnsi="宋体" w:cs="宋体"/>
          <w:sz w:val="24"/>
          <w:szCs w:val="24"/>
        </w:rPr>
      </w:pPr>
      <w:r>
        <w:rPr>
          <w:rFonts w:ascii="宋体" w:hAnsi="宋体" w:cs="宋体"/>
          <w:sz w:val="24"/>
          <w:szCs w:val="24"/>
        </w:rPr>
        <w:t>5、本协议书自</w:t>
      </w:r>
      <w:r>
        <w:rPr>
          <w:rFonts w:hint="eastAsia" w:ascii="宋体" w:hAnsi="宋体" w:cs="宋体"/>
          <w:sz w:val="24"/>
          <w:szCs w:val="24"/>
        </w:rPr>
        <w:t>签订之日起生效，合同履行完毕后自动失效。</w:t>
      </w:r>
      <w:r>
        <w:rPr>
          <w:rFonts w:ascii="宋体" w:hAnsi="宋体" w:cs="宋体"/>
          <w:sz w:val="24"/>
          <w:szCs w:val="24"/>
        </w:rPr>
        <w:t xml:space="preserve"> </w:t>
      </w:r>
    </w:p>
    <w:p>
      <w:pPr>
        <w:topLinePunct/>
        <w:spacing w:line="360" w:lineRule="auto"/>
        <w:ind w:firstLine="480" w:firstLineChars="200"/>
        <w:rPr>
          <w:sz w:val="24"/>
        </w:rPr>
      </w:pPr>
      <w:r>
        <w:rPr>
          <w:rFonts w:ascii="宋体" w:hAnsi="宋体" w:cs="宋体"/>
          <w:sz w:val="24"/>
          <w:szCs w:val="24"/>
        </w:rPr>
        <w:t>6、</w:t>
      </w:r>
      <w:r>
        <w:rPr>
          <w:rFonts w:hint="eastAsia" w:ascii="宋体" w:hAnsi="宋体" w:cs="宋体"/>
          <w:sz w:val="24"/>
          <w:szCs w:val="24"/>
        </w:rPr>
        <w:t>本协议书正本一式四份，送业主一份，随投标文件递交一份，联合体牵头单位两份；副本根据联合体单位数量确定总体份数，随投标文件递交三份，联合体成员各执一份。</w:t>
      </w:r>
    </w:p>
    <w:p>
      <w:pPr>
        <w:topLinePunct/>
        <w:spacing w:beforeLines="50" w:line="360" w:lineRule="auto"/>
        <w:ind w:firstLine="480" w:firstLineChars="200"/>
        <w:rPr>
          <w:rFonts w:ascii="宋体" w:hAnsi="宋体" w:cs="宋体"/>
          <w:sz w:val="24"/>
          <w:szCs w:val="24"/>
        </w:rPr>
      </w:pPr>
      <w:r>
        <w:rPr>
          <w:rFonts w:hint="eastAsia" w:ascii="宋体" w:hAnsi="宋体" w:cs="宋体"/>
          <w:sz w:val="24"/>
          <w:szCs w:val="24"/>
        </w:rPr>
        <w:t>注：本协议书由法定代表人签字的，应附法定代表人身份证明；由委托代理人签字的，应附授权委托书。</w:t>
      </w:r>
    </w:p>
    <w:p>
      <w:pPr>
        <w:topLinePunct/>
        <w:spacing w:beforeLines="50" w:line="360" w:lineRule="auto"/>
        <w:ind w:firstLine="2409"/>
        <w:rPr>
          <w:rFonts w:ascii="宋体" w:hAnsi="宋体" w:cs="宋体"/>
          <w:sz w:val="24"/>
          <w:szCs w:val="24"/>
        </w:rPr>
      </w:pPr>
      <w:r>
        <w:rPr>
          <w:rFonts w:hint="eastAsia" w:ascii="宋体" w:hAnsi="宋体" w:cs="宋体"/>
          <w:sz w:val="24"/>
          <w:szCs w:val="24"/>
        </w:rPr>
        <w:t>联合体牵头人名称：（盖单位章）</w:t>
      </w:r>
    </w:p>
    <w:p>
      <w:pPr>
        <w:topLinePunct/>
        <w:spacing w:line="360" w:lineRule="auto"/>
        <w:ind w:firstLine="2409"/>
        <w:jc w:val="left"/>
        <w:rPr>
          <w:rFonts w:ascii="宋体" w:hAnsi="宋体" w:cs="宋体"/>
          <w:sz w:val="24"/>
          <w:szCs w:val="24"/>
        </w:rPr>
      </w:pPr>
      <w:r>
        <w:rPr>
          <w:rFonts w:hint="eastAsia" w:ascii="宋体" w:hAnsi="宋体" w:cs="宋体"/>
          <w:sz w:val="24"/>
          <w:szCs w:val="24"/>
        </w:rPr>
        <w:t>法定代表人或其委托代理人：（签字）</w:t>
      </w:r>
    </w:p>
    <w:p>
      <w:pPr>
        <w:topLinePunct/>
        <w:spacing w:line="360" w:lineRule="auto"/>
        <w:ind w:firstLine="2752" w:firstLineChars="1147"/>
        <w:jc w:val="left"/>
        <w:rPr>
          <w:rFonts w:ascii="宋体" w:hAnsi="宋体" w:cs="宋体"/>
          <w:sz w:val="24"/>
          <w:szCs w:val="24"/>
        </w:rPr>
      </w:pPr>
    </w:p>
    <w:p>
      <w:pPr>
        <w:topLinePunct/>
        <w:spacing w:line="360" w:lineRule="auto"/>
        <w:ind w:firstLine="2409"/>
        <w:jc w:val="left"/>
        <w:rPr>
          <w:rFonts w:ascii="宋体" w:hAnsi="宋体" w:cs="宋体"/>
          <w:sz w:val="24"/>
          <w:szCs w:val="24"/>
        </w:rPr>
      </w:pPr>
      <w:r>
        <w:rPr>
          <w:rFonts w:hint="eastAsia" w:ascii="宋体" w:hAnsi="宋体" w:cs="宋体"/>
          <w:sz w:val="24"/>
          <w:szCs w:val="24"/>
        </w:rPr>
        <w:t>联合体成员名称：（盖单位章）</w:t>
      </w:r>
    </w:p>
    <w:p>
      <w:pPr>
        <w:topLinePunct/>
        <w:spacing w:line="360" w:lineRule="auto"/>
        <w:ind w:firstLine="2409"/>
        <w:jc w:val="left"/>
        <w:rPr>
          <w:rFonts w:ascii="宋体" w:hAnsi="宋体" w:cs="宋体"/>
          <w:sz w:val="24"/>
          <w:szCs w:val="24"/>
        </w:rPr>
      </w:pPr>
      <w:r>
        <w:rPr>
          <w:rFonts w:hint="eastAsia" w:ascii="宋体" w:hAnsi="宋体" w:cs="宋体"/>
          <w:sz w:val="24"/>
          <w:szCs w:val="24"/>
        </w:rPr>
        <w:t>法定代表人或其委托代理人：（签字）</w:t>
      </w:r>
    </w:p>
    <w:p>
      <w:pPr>
        <w:topLinePunct/>
        <w:spacing w:line="360" w:lineRule="auto"/>
        <w:ind w:firstLine="2752" w:firstLineChars="1147"/>
        <w:rPr>
          <w:rFonts w:ascii="宋体" w:hAnsi="宋体" w:cs="宋体"/>
          <w:sz w:val="24"/>
          <w:szCs w:val="24"/>
        </w:rPr>
      </w:pPr>
      <w:r>
        <w:rPr>
          <w:rFonts w:hint="eastAsia" w:ascii="宋体" w:hAnsi="宋体" w:cs="宋体"/>
          <w:sz w:val="24"/>
          <w:szCs w:val="24"/>
        </w:rPr>
        <w:t>　</w:t>
      </w:r>
    </w:p>
    <w:p>
      <w:pPr>
        <w:topLinePunct/>
        <w:spacing w:line="360" w:lineRule="auto"/>
        <w:ind w:firstLine="2752" w:firstLineChars="1147"/>
        <w:jc w:val="left"/>
        <w:rPr>
          <w:rFonts w:ascii="微软雅黑" w:hAnsi="微软雅黑" w:eastAsia="微软雅黑"/>
          <w:color w:val="000000" w:themeColor="text1"/>
          <w:sz w:val="44"/>
          <w:szCs w:val="44"/>
        </w:rPr>
      </w:pPr>
      <w:r>
        <w:rPr>
          <w:rFonts w:hint="eastAsia" w:ascii="宋体" w:hAnsi="宋体" w:cs="宋体"/>
          <w:sz w:val="24"/>
          <w:szCs w:val="24"/>
        </w:rPr>
        <w:t>　　　　　　　　　年月日</w:t>
      </w:r>
      <w:r>
        <w:rPr>
          <w:rFonts w:ascii="微软雅黑" w:hAnsi="微软雅黑" w:eastAsia="微软雅黑"/>
          <w:color w:val="000000" w:themeColor="text1"/>
          <w:sz w:val="44"/>
          <w:szCs w:val="44"/>
        </w:rPr>
        <w:br w:type="page"/>
      </w:r>
    </w:p>
    <w:p>
      <w:pPr>
        <w:adjustRightInd w:val="0"/>
        <w:snapToGrid w:val="0"/>
        <w:spacing w:line="360" w:lineRule="auto"/>
        <w:rPr>
          <w:rFonts w:ascii="微软雅黑" w:hAnsi="微软雅黑" w:eastAsia="微软雅黑"/>
          <w:color w:val="000000" w:themeColor="text1"/>
          <w:sz w:val="36"/>
          <w:szCs w:val="36"/>
        </w:rPr>
      </w:pPr>
    </w:p>
    <w:p>
      <w:pPr>
        <w:adjustRightInd w:val="0"/>
        <w:snapToGrid w:val="0"/>
        <w:spacing w:line="360" w:lineRule="auto"/>
        <w:jc w:val="center"/>
        <w:rPr>
          <w:rFonts w:ascii="微软雅黑" w:hAnsi="微软雅黑" w:eastAsia="微软雅黑"/>
          <w:color w:val="000000" w:themeColor="text1"/>
          <w:sz w:val="36"/>
          <w:szCs w:val="36"/>
        </w:rPr>
      </w:pPr>
      <w:r>
        <w:rPr>
          <w:rFonts w:ascii="微软雅黑" w:hAnsi="微软雅黑" w:eastAsia="微软雅黑"/>
          <w:color w:val="000000" w:themeColor="text1"/>
          <w:sz w:val="36"/>
          <w:szCs w:val="36"/>
        </w:rPr>
        <w:t>2020年</w:t>
      </w:r>
      <w:r>
        <w:rPr>
          <w:rFonts w:hint="eastAsia" w:ascii="微软雅黑" w:hAnsi="微软雅黑" w:eastAsia="微软雅黑"/>
          <w:color w:val="000000" w:themeColor="text1"/>
          <w:sz w:val="36"/>
          <w:szCs w:val="36"/>
        </w:rPr>
        <w:t>安徽</w:t>
      </w:r>
      <w:r>
        <w:rPr>
          <w:rFonts w:ascii="微软雅黑" w:hAnsi="微软雅黑" w:eastAsia="微软雅黑"/>
          <w:color w:val="000000" w:themeColor="text1"/>
          <w:sz w:val="36"/>
          <w:szCs w:val="36"/>
        </w:rPr>
        <w:t>省国家地下水监测工程（水利部分）</w:t>
      </w:r>
    </w:p>
    <w:p>
      <w:pPr>
        <w:adjustRightInd w:val="0"/>
        <w:snapToGrid w:val="0"/>
        <w:spacing w:line="360" w:lineRule="auto"/>
        <w:jc w:val="center"/>
        <w:rPr>
          <w:rFonts w:ascii="微软雅黑" w:hAnsi="微软雅黑" w:eastAsia="微软雅黑"/>
          <w:color w:val="000000" w:themeColor="text1"/>
          <w:sz w:val="48"/>
          <w:szCs w:val="48"/>
        </w:rPr>
      </w:pPr>
      <w:r>
        <w:rPr>
          <w:rFonts w:hint="eastAsia" w:ascii="微软雅黑" w:hAnsi="微软雅黑" w:eastAsia="微软雅黑"/>
          <w:color w:val="000000" w:themeColor="text1"/>
          <w:sz w:val="36"/>
          <w:szCs w:val="36"/>
        </w:rPr>
        <w:t>运行维护及地下水水质监测项目</w:t>
      </w:r>
    </w:p>
    <w:p>
      <w:pPr>
        <w:adjustRightInd w:val="0"/>
        <w:snapToGrid w:val="0"/>
        <w:spacing w:line="360" w:lineRule="auto"/>
        <w:jc w:val="center"/>
        <w:rPr>
          <w:rFonts w:ascii="微软雅黑" w:hAnsi="微软雅黑" w:eastAsia="微软雅黑"/>
          <w:color w:val="000000" w:themeColor="text1"/>
          <w:sz w:val="48"/>
          <w:szCs w:val="48"/>
        </w:rPr>
      </w:pPr>
      <w:r>
        <w:rPr>
          <w:rFonts w:hint="eastAsia" w:ascii="微软雅黑" w:hAnsi="微软雅黑" w:eastAsia="微软雅黑"/>
          <w:color w:val="000000" w:themeColor="text1"/>
          <w:sz w:val="48"/>
          <w:szCs w:val="48"/>
        </w:rPr>
        <w:t>投标</w:t>
      </w:r>
      <w:bookmarkEnd w:id="81"/>
      <w:r>
        <w:rPr>
          <w:rFonts w:hint="eastAsia" w:ascii="微软雅黑" w:hAnsi="微软雅黑" w:eastAsia="微软雅黑"/>
          <w:color w:val="000000" w:themeColor="text1"/>
          <w:sz w:val="48"/>
          <w:szCs w:val="48"/>
        </w:rPr>
        <w:t>文件</w:t>
      </w: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bookmarkEnd w:id="82"/>
    <w:p>
      <w:pPr>
        <w:pStyle w:val="4"/>
        <w:adjustRightInd w:val="0"/>
        <w:snapToGrid w:val="0"/>
        <w:spacing w:before="0" w:after="100" w:afterAutospacing="1" w:line="240" w:lineRule="auto"/>
        <w:jc w:val="center"/>
        <w:rPr>
          <w:rFonts w:ascii="黑体" w:hAnsi="黑体"/>
          <w:bCs w:val="0"/>
          <w:color w:val="000000" w:themeColor="text1"/>
          <w:sz w:val="36"/>
          <w:szCs w:val="36"/>
        </w:rPr>
      </w:pPr>
      <w:bookmarkStart w:id="107" w:name="_Toc414384929"/>
      <w:bookmarkStart w:id="108" w:name="_Toc42206703"/>
      <w:r>
        <w:rPr>
          <w:rFonts w:hint="eastAsia" w:ascii="黑体" w:hAnsi="黑体"/>
          <w:bCs w:val="0"/>
          <w:color w:val="000000" w:themeColor="text1"/>
          <w:sz w:val="36"/>
          <w:szCs w:val="36"/>
        </w:rPr>
        <w:t>技术卷</w:t>
      </w:r>
      <w:bookmarkEnd w:id="107"/>
      <w:bookmarkEnd w:id="108"/>
    </w:p>
    <w:p>
      <w:pPr>
        <w:adjustRightInd w:val="0"/>
        <w:snapToGrid w:val="0"/>
        <w:spacing w:line="360" w:lineRule="auto"/>
        <w:jc w:val="center"/>
        <w:rPr>
          <w:rFonts w:ascii="黑体" w:hAnsi="黑体" w:eastAsia="黑体"/>
          <w:color w:val="000000" w:themeColor="text1"/>
          <w:sz w:val="48"/>
          <w:szCs w:val="4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jc w:val="left"/>
        <w:rPr>
          <w:rFonts w:ascii="宋体" w:hAnsi="宋体"/>
          <w:color w:val="000000" w:themeColor="text1"/>
          <w:sz w:val="32"/>
          <w:szCs w:val="32"/>
        </w:rPr>
      </w:pPr>
      <w:r>
        <w:rPr>
          <w:rFonts w:ascii="宋体" w:hAnsi="宋体"/>
          <w:color w:val="000000" w:themeColor="text1"/>
          <w:sz w:val="32"/>
          <w:szCs w:val="32"/>
        </w:rPr>
        <w:t xml:space="preserve">     投标单位</w:t>
      </w:r>
      <w:r>
        <w:rPr>
          <w:rFonts w:hint="eastAsia" w:ascii="宋体" w:hAnsi="宋体"/>
          <w:color w:val="000000" w:themeColor="text1"/>
          <w:sz w:val="32"/>
          <w:szCs w:val="32"/>
        </w:rPr>
        <w:t>（或联合体牵头单位）</w:t>
      </w:r>
      <w:r>
        <w:rPr>
          <w:rFonts w:ascii="宋体" w:hAnsi="宋体"/>
          <w:color w:val="000000" w:themeColor="text1"/>
          <w:sz w:val="32"/>
          <w:szCs w:val="32"/>
        </w:rPr>
        <w:t>名称：</w:t>
      </w:r>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jc w:val="center"/>
        <w:rPr>
          <w:rFonts w:ascii="仿宋_GB2312" w:hAnsi="宋体" w:eastAsia="仿宋_GB2312"/>
          <w:color w:val="000000" w:themeColor="text1"/>
          <w:sz w:val="28"/>
          <w:szCs w:val="28"/>
        </w:rPr>
        <w:sectPr>
          <w:footerReference r:id="rId7" w:type="default"/>
          <w:footerReference r:id="rId8" w:type="even"/>
          <w:pgSz w:w="11907" w:h="16840"/>
          <w:pgMar w:top="1440" w:right="1247" w:bottom="1440" w:left="1247" w:header="851" w:footer="992" w:gutter="0"/>
          <w:cols w:space="425" w:num="1"/>
          <w:titlePg/>
          <w:docGrid w:linePitch="312" w:charSpace="0"/>
        </w:sectPr>
      </w:pPr>
      <w:bookmarkStart w:id="109" w:name="_Toc193186882"/>
      <w:bookmarkStart w:id="110" w:name="_Toc175555770"/>
      <w:r>
        <w:rPr>
          <w:rFonts w:hint="eastAsia" w:ascii="宋体" w:hAnsi="宋体"/>
          <w:color w:val="000000" w:themeColor="text1"/>
          <w:sz w:val="32"/>
          <w:szCs w:val="32"/>
        </w:rPr>
        <w:t>二〇二〇年月日</w:t>
      </w:r>
      <w:bookmarkEnd w:id="109"/>
      <w:bookmarkEnd w:id="110"/>
      <w:bookmarkStart w:id="111" w:name="_Toc193186883"/>
    </w:p>
    <w:bookmarkEnd w:id="111"/>
    <w:p>
      <w:pPr>
        <w:spacing w:line="360" w:lineRule="auto"/>
        <w:rPr>
          <w:rFonts w:ascii="仿宋_GB2312"/>
          <w:color w:val="000000" w:themeColor="text1"/>
          <w:sz w:val="30"/>
          <w:szCs w:val="30"/>
        </w:rPr>
      </w:pPr>
      <w:bookmarkStart w:id="112" w:name="_Toc193186884"/>
      <w:r>
        <w:rPr>
          <w:rFonts w:hint="eastAsia" w:ascii="仿宋_GB2312"/>
          <w:color w:val="000000" w:themeColor="text1"/>
          <w:sz w:val="30"/>
          <w:szCs w:val="30"/>
        </w:rPr>
        <w:t>（包括但不限于以下内容：）</w:t>
      </w: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13" w:name="_Toc42206704"/>
      <w:r>
        <w:rPr>
          <w:rFonts w:hint="eastAsia" w:ascii="黑体" w:hAnsi="黑体"/>
          <w:bCs w:val="0"/>
          <w:color w:val="000000" w:themeColor="text1"/>
          <w:sz w:val="36"/>
          <w:szCs w:val="36"/>
        </w:rPr>
        <w:t>一、概述</w:t>
      </w:r>
      <w:bookmarkEnd w:id="113"/>
    </w:p>
    <w:p>
      <w:pPr>
        <w:spacing w:line="360" w:lineRule="auto"/>
        <w:ind w:firstLine="750" w:firstLineChars="250"/>
        <w:rPr>
          <w:rFonts w:ascii="仿宋_GB2312"/>
          <w:color w:val="000000" w:themeColor="text1"/>
          <w:sz w:val="30"/>
          <w:szCs w:val="30"/>
        </w:rPr>
      </w:pPr>
      <w:r>
        <w:rPr>
          <w:rFonts w:hint="eastAsia" w:ascii="仿宋_GB2312"/>
          <w:color w:val="000000" w:themeColor="text1"/>
          <w:sz w:val="30"/>
          <w:szCs w:val="30"/>
        </w:rPr>
        <w:t>1.1项目概况</w:t>
      </w:r>
    </w:p>
    <w:p>
      <w:pPr>
        <w:spacing w:line="360" w:lineRule="auto"/>
        <w:ind w:firstLine="750" w:firstLineChars="250"/>
        <w:rPr>
          <w:rFonts w:ascii="仿宋_GB2312"/>
          <w:color w:val="000000" w:themeColor="text1"/>
          <w:sz w:val="30"/>
          <w:szCs w:val="30"/>
        </w:rPr>
      </w:pPr>
      <w:r>
        <w:rPr>
          <w:rFonts w:hint="eastAsia" w:ascii="仿宋_GB2312"/>
          <w:color w:val="000000" w:themeColor="text1"/>
          <w:sz w:val="30"/>
          <w:szCs w:val="30"/>
        </w:rPr>
        <w:t>1.2项目目标</w:t>
      </w:r>
    </w:p>
    <w:p>
      <w:pPr>
        <w:spacing w:line="360" w:lineRule="auto"/>
        <w:ind w:firstLine="750" w:firstLineChars="250"/>
        <w:rPr>
          <w:rFonts w:ascii="仿宋_GB2312"/>
          <w:color w:val="000000" w:themeColor="text1"/>
          <w:sz w:val="30"/>
          <w:szCs w:val="30"/>
        </w:rPr>
      </w:pPr>
      <w:r>
        <w:rPr>
          <w:rFonts w:hint="eastAsia" w:ascii="仿宋_GB2312"/>
          <w:color w:val="000000" w:themeColor="text1"/>
          <w:sz w:val="30"/>
          <w:szCs w:val="30"/>
        </w:rPr>
        <w:t>1.3项目工作主要内容</w:t>
      </w:r>
    </w:p>
    <w:p>
      <w:pPr>
        <w:spacing w:line="360" w:lineRule="auto"/>
        <w:ind w:firstLine="750" w:firstLineChars="250"/>
        <w:rPr>
          <w:rFonts w:ascii="仿宋_GB2312"/>
          <w:color w:val="000000" w:themeColor="text1"/>
          <w:sz w:val="30"/>
          <w:szCs w:val="30"/>
        </w:rPr>
      </w:pPr>
      <w:r>
        <w:rPr>
          <w:rFonts w:hint="eastAsia" w:ascii="仿宋_GB2312"/>
          <w:color w:val="000000" w:themeColor="text1"/>
          <w:sz w:val="30"/>
          <w:szCs w:val="30"/>
        </w:rPr>
        <w:t>1.4工作依据</w:t>
      </w:r>
    </w:p>
    <w:p>
      <w:pPr>
        <w:spacing w:line="360" w:lineRule="auto"/>
        <w:ind w:firstLine="750" w:firstLineChars="250"/>
        <w:rPr>
          <w:rFonts w:ascii="仿宋_GB2312"/>
          <w:color w:val="000000" w:themeColor="text1"/>
          <w:sz w:val="30"/>
          <w:szCs w:val="30"/>
        </w:rPr>
      </w:pPr>
      <w:r>
        <w:rPr>
          <w:rFonts w:hint="eastAsia" w:ascii="仿宋_GB2312"/>
          <w:color w:val="000000" w:themeColor="text1"/>
          <w:sz w:val="30"/>
          <w:szCs w:val="30"/>
        </w:rPr>
        <w:t>1.5理解与认识</w:t>
      </w: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14" w:name="_Toc42206705"/>
      <w:r>
        <w:rPr>
          <w:rFonts w:hint="eastAsia" w:ascii="黑体" w:hAnsi="黑体"/>
          <w:bCs w:val="0"/>
          <w:color w:val="000000" w:themeColor="text1"/>
          <w:sz w:val="36"/>
          <w:szCs w:val="36"/>
        </w:rPr>
        <w:t>二、需求分析</w:t>
      </w:r>
      <w:bookmarkEnd w:id="114"/>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2.1 </w:t>
      </w:r>
      <w:r>
        <w:rPr>
          <w:rFonts w:hint="eastAsia" w:ascii="仿宋_GB2312"/>
          <w:color w:val="000000" w:themeColor="text1"/>
          <w:sz w:val="30"/>
          <w:szCs w:val="30"/>
        </w:rPr>
        <w:t>工作时间</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2.2 </w:t>
      </w:r>
      <w:r>
        <w:rPr>
          <w:rFonts w:hint="eastAsia" w:ascii="仿宋_GB2312"/>
          <w:color w:val="000000" w:themeColor="text1"/>
          <w:sz w:val="30"/>
          <w:szCs w:val="30"/>
        </w:rPr>
        <w:t>工作范围</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2.3 </w:t>
      </w:r>
      <w:r>
        <w:rPr>
          <w:rFonts w:hint="eastAsia" w:ascii="仿宋_GB2312"/>
          <w:color w:val="000000" w:themeColor="text1"/>
          <w:sz w:val="30"/>
          <w:szCs w:val="30"/>
        </w:rPr>
        <w:t>工作内容分析</w:t>
      </w: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15" w:name="_Toc42206706"/>
      <w:r>
        <w:rPr>
          <w:rFonts w:hint="eastAsia" w:ascii="黑体" w:hAnsi="黑体"/>
          <w:bCs w:val="0"/>
          <w:color w:val="000000" w:themeColor="text1"/>
          <w:sz w:val="36"/>
          <w:szCs w:val="36"/>
        </w:rPr>
        <w:t>三、技术方案</w:t>
      </w:r>
      <w:bookmarkEnd w:id="115"/>
    </w:p>
    <w:p>
      <w:pPr>
        <w:spacing w:line="360" w:lineRule="auto"/>
        <w:ind w:firstLine="600" w:firstLineChars="200"/>
        <w:rPr>
          <w:rFonts w:ascii="仿宋_GB2312"/>
          <w:color w:val="000000" w:themeColor="text1"/>
          <w:sz w:val="30"/>
          <w:szCs w:val="30"/>
        </w:rPr>
      </w:pPr>
      <w:r>
        <w:rPr>
          <w:rFonts w:hint="eastAsia" w:ascii="仿宋_GB2312"/>
          <w:color w:val="000000" w:themeColor="text1"/>
          <w:sz w:val="30"/>
          <w:szCs w:val="30"/>
        </w:rPr>
        <w:t>在需求分析的基础上，阐述总体思路，制定完整、合理可行的全流程技术方案。</w:t>
      </w: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16" w:name="_Toc42206707"/>
      <w:r>
        <w:rPr>
          <w:rFonts w:hint="eastAsia" w:ascii="黑体" w:hAnsi="黑体"/>
          <w:bCs w:val="0"/>
          <w:color w:val="000000" w:themeColor="text1"/>
          <w:sz w:val="36"/>
          <w:szCs w:val="36"/>
        </w:rPr>
        <w:t>四、项目组织实施</w:t>
      </w:r>
      <w:bookmarkEnd w:id="116"/>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4.1   </w:t>
      </w:r>
      <w:r>
        <w:rPr>
          <w:rFonts w:hint="eastAsia" w:ascii="仿宋_GB2312"/>
          <w:color w:val="000000" w:themeColor="text1"/>
          <w:sz w:val="30"/>
          <w:szCs w:val="30"/>
        </w:rPr>
        <w:t>组织机构形式</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4.2   </w:t>
      </w:r>
      <w:r>
        <w:rPr>
          <w:rFonts w:hint="eastAsia" w:ascii="仿宋_GB2312"/>
          <w:color w:val="000000" w:themeColor="text1"/>
          <w:sz w:val="30"/>
          <w:szCs w:val="30"/>
        </w:rPr>
        <w:t>人员配备计划</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4.3   </w:t>
      </w:r>
      <w:r>
        <w:rPr>
          <w:rFonts w:hint="eastAsia" w:ascii="仿宋_GB2312"/>
          <w:color w:val="000000" w:themeColor="text1"/>
          <w:sz w:val="30"/>
          <w:szCs w:val="30"/>
        </w:rPr>
        <w:t>其他资源准备与软硬件投入</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4.4   </w:t>
      </w:r>
      <w:r>
        <w:rPr>
          <w:rFonts w:hint="eastAsia" w:ascii="仿宋_GB2312"/>
          <w:color w:val="000000" w:themeColor="text1"/>
          <w:sz w:val="30"/>
          <w:szCs w:val="30"/>
        </w:rPr>
        <w:t>人员岗位职责</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4.5   </w:t>
      </w:r>
      <w:r>
        <w:rPr>
          <w:rFonts w:hint="eastAsia" w:ascii="仿宋_GB2312"/>
          <w:color w:val="000000" w:themeColor="text1"/>
          <w:sz w:val="30"/>
          <w:szCs w:val="30"/>
        </w:rPr>
        <w:t>项目管理</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4.6   </w:t>
      </w:r>
      <w:r>
        <w:rPr>
          <w:rFonts w:hint="eastAsia" w:ascii="仿宋_GB2312"/>
          <w:color w:val="000000" w:themeColor="text1"/>
          <w:sz w:val="30"/>
          <w:szCs w:val="30"/>
        </w:rPr>
        <w:t>质量管理</w:t>
      </w:r>
    </w:p>
    <w:p>
      <w:pPr>
        <w:spacing w:line="360" w:lineRule="auto"/>
        <w:ind w:firstLine="600" w:firstLineChars="200"/>
        <w:rPr>
          <w:rFonts w:ascii="仿宋_GB2312"/>
          <w:color w:val="000000" w:themeColor="text1"/>
          <w:sz w:val="30"/>
          <w:szCs w:val="30"/>
        </w:rPr>
      </w:pPr>
      <w:r>
        <w:rPr>
          <w:rFonts w:ascii="仿宋_GB2312"/>
          <w:color w:val="000000" w:themeColor="text1"/>
          <w:sz w:val="30"/>
          <w:szCs w:val="30"/>
        </w:rPr>
        <w:t xml:space="preserve">4.7   </w:t>
      </w:r>
      <w:r>
        <w:rPr>
          <w:rFonts w:hint="eastAsia" w:ascii="仿宋_GB2312"/>
          <w:color w:val="000000" w:themeColor="text1"/>
          <w:sz w:val="30"/>
          <w:szCs w:val="30"/>
        </w:rPr>
        <w:t>工程实施进度</w:t>
      </w: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17" w:name="_Toc42206708"/>
      <w:r>
        <w:rPr>
          <w:rFonts w:hint="eastAsia" w:ascii="黑体" w:hAnsi="黑体"/>
          <w:bCs w:val="0"/>
          <w:color w:val="000000" w:themeColor="text1"/>
          <w:sz w:val="36"/>
          <w:szCs w:val="36"/>
        </w:rPr>
        <w:t>五、对招标文件有关条款的承诺</w:t>
      </w:r>
      <w:bookmarkEnd w:id="117"/>
    </w:p>
    <w:p>
      <w:pPr>
        <w:spacing w:line="360" w:lineRule="auto"/>
        <w:ind w:firstLine="600" w:firstLineChars="200"/>
        <w:rPr>
          <w:rFonts w:ascii="仿宋_GB2312"/>
          <w:color w:val="000000" w:themeColor="text1"/>
          <w:sz w:val="30"/>
          <w:szCs w:val="30"/>
        </w:rPr>
      </w:pPr>
      <w:r>
        <w:rPr>
          <w:rFonts w:hint="eastAsia" w:ascii="仿宋_GB2312"/>
          <w:color w:val="000000" w:themeColor="text1"/>
          <w:sz w:val="30"/>
          <w:szCs w:val="30"/>
        </w:rPr>
        <w:t>完成招投标项目承诺、建议等。</w:t>
      </w: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18" w:name="_Toc42206709"/>
      <w:r>
        <w:rPr>
          <w:rFonts w:hint="eastAsia" w:ascii="黑体" w:hAnsi="黑体"/>
          <w:bCs w:val="0"/>
          <w:color w:val="000000" w:themeColor="text1"/>
          <w:sz w:val="36"/>
          <w:szCs w:val="36"/>
        </w:rPr>
        <w:t>六、提交成果</w:t>
      </w:r>
      <w:bookmarkEnd w:id="118"/>
    </w:p>
    <w:p>
      <w:pPr>
        <w:spacing w:line="360" w:lineRule="auto"/>
        <w:ind w:firstLine="600" w:firstLineChars="200"/>
        <w:rPr>
          <w:rFonts w:ascii="仿宋_GB2312" w:hAnsi="宋体" w:eastAsia="仿宋_GB2312"/>
          <w:color w:val="000000" w:themeColor="text1"/>
          <w:sz w:val="28"/>
          <w:szCs w:val="28"/>
        </w:rPr>
      </w:pPr>
      <w:r>
        <w:rPr>
          <w:rFonts w:hint="eastAsia" w:ascii="仿宋_GB2312"/>
          <w:color w:val="000000" w:themeColor="text1"/>
          <w:sz w:val="30"/>
          <w:szCs w:val="30"/>
        </w:rPr>
        <w:t>项目最终提交的成果</w:t>
      </w:r>
      <w:bookmarkEnd w:id="112"/>
      <w:r>
        <w:rPr>
          <w:rFonts w:hint="eastAsia" w:ascii="仿宋_GB2312"/>
          <w:color w:val="000000" w:themeColor="text1"/>
          <w:sz w:val="30"/>
          <w:szCs w:val="30"/>
        </w:rPr>
        <w:t>。</w:t>
      </w:r>
    </w:p>
    <w:p>
      <w:pPr>
        <w:adjustRightInd w:val="0"/>
        <w:snapToGrid w:val="0"/>
        <w:spacing w:line="360" w:lineRule="auto"/>
        <w:jc w:val="center"/>
        <w:rPr>
          <w:rFonts w:ascii="微软雅黑" w:hAnsi="微软雅黑" w:eastAsia="微软雅黑"/>
          <w:color w:val="000000" w:themeColor="text1"/>
          <w:sz w:val="36"/>
          <w:szCs w:val="36"/>
        </w:rPr>
      </w:pPr>
      <w:bookmarkStart w:id="119" w:name="_Toc193186914"/>
      <w:r>
        <w:rPr>
          <w:rFonts w:ascii="微软雅黑" w:hAnsi="微软雅黑" w:eastAsia="微软雅黑"/>
          <w:color w:val="000000" w:themeColor="text1"/>
          <w:sz w:val="44"/>
          <w:szCs w:val="44"/>
        </w:rPr>
        <w:br w:type="page"/>
      </w:r>
      <w:bookmarkEnd w:id="119"/>
    </w:p>
    <w:p>
      <w:pPr>
        <w:adjustRightInd w:val="0"/>
        <w:snapToGrid w:val="0"/>
        <w:spacing w:line="360" w:lineRule="auto"/>
        <w:jc w:val="center"/>
        <w:rPr>
          <w:rFonts w:ascii="微软雅黑" w:hAnsi="微软雅黑" w:eastAsia="微软雅黑"/>
          <w:color w:val="000000" w:themeColor="text1"/>
          <w:sz w:val="36"/>
          <w:szCs w:val="36"/>
        </w:rPr>
      </w:pPr>
      <w:r>
        <w:rPr>
          <w:rFonts w:ascii="微软雅黑" w:hAnsi="微软雅黑" w:eastAsia="微软雅黑"/>
          <w:color w:val="000000" w:themeColor="text1"/>
          <w:sz w:val="36"/>
          <w:szCs w:val="36"/>
        </w:rPr>
        <w:t>2020年</w:t>
      </w:r>
      <w:r>
        <w:rPr>
          <w:rFonts w:hint="eastAsia" w:ascii="微软雅黑" w:hAnsi="微软雅黑" w:eastAsia="微软雅黑"/>
          <w:color w:val="000000" w:themeColor="text1"/>
          <w:sz w:val="36"/>
          <w:szCs w:val="36"/>
        </w:rPr>
        <w:t>安徽</w:t>
      </w:r>
      <w:r>
        <w:rPr>
          <w:rFonts w:ascii="微软雅黑" w:hAnsi="微软雅黑" w:eastAsia="微软雅黑"/>
          <w:color w:val="000000" w:themeColor="text1"/>
          <w:sz w:val="36"/>
          <w:szCs w:val="36"/>
        </w:rPr>
        <w:t>省国家地下水监测工程（水利部分）</w:t>
      </w:r>
    </w:p>
    <w:p>
      <w:pPr>
        <w:adjustRightInd w:val="0"/>
        <w:snapToGrid w:val="0"/>
        <w:spacing w:line="360" w:lineRule="auto"/>
        <w:jc w:val="center"/>
        <w:rPr>
          <w:rFonts w:ascii="微软雅黑" w:hAnsi="微软雅黑" w:eastAsia="微软雅黑"/>
          <w:color w:val="000000" w:themeColor="text1"/>
          <w:sz w:val="36"/>
          <w:szCs w:val="36"/>
        </w:rPr>
      </w:pPr>
      <w:r>
        <w:rPr>
          <w:rFonts w:hint="eastAsia" w:ascii="微软雅黑" w:hAnsi="微软雅黑" w:eastAsia="微软雅黑"/>
          <w:color w:val="000000" w:themeColor="text1"/>
          <w:sz w:val="36"/>
          <w:szCs w:val="36"/>
        </w:rPr>
        <w:t>运行维护及地下水水质监测项目</w:t>
      </w:r>
    </w:p>
    <w:p>
      <w:pPr>
        <w:adjustRightInd w:val="0"/>
        <w:snapToGrid w:val="0"/>
        <w:spacing w:line="360" w:lineRule="auto"/>
        <w:jc w:val="center"/>
        <w:rPr>
          <w:rFonts w:ascii="微软雅黑" w:hAnsi="微软雅黑" w:eastAsia="微软雅黑"/>
          <w:color w:val="000000" w:themeColor="text1"/>
          <w:sz w:val="44"/>
          <w:szCs w:val="44"/>
        </w:rPr>
      </w:pPr>
    </w:p>
    <w:p>
      <w:pPr>
        <w:adjustRightInd w:val="0"/>
        <w:snapToGrid w:val="0"/>
        <w:spacing w:line="360" w:lineRule="auto"/>
        <w:jc w:val="center"/>
        <w:rPr>
          <w:rFonts w:ascii="微软雅黑" w:hAnsi="微软雅黑" w:eastAsia="微软雅黑"/>
          <w:color w:val="000000" w:themeColor="text1"/>
          <w:sz w:val="52"/>
          <w:szCs w:val="52"/>
        </w:rPr>
      </w:pPr>
      <w:r>
        <w:rPr>
          <w:rFonts w:hint="eastAsia" w:ascii="微软雅黑" w:hAnsi="微软雅黑" w:eastAsia="微软雅黑"/>
          <w:color w:val="000000" w:themeColor="text1"/>
          <w:sz w:val="52"/>
          <w:szCs w:val="52"/>
        </w:rPr>
        <w:t>投标文件</w:t>
      </w:r>
    </w:p>
    <w:p>
      <w:pPr>
        <w:adjustRightInd w:val="0"/>
        <w:snapToGrid w:val="0"/>
        <w:spacing w:line="360" w:lineRule="auto"/>
        <w:jc w:val="center"/>
        <w:rPr>
          <w:rFonts w:ascii="微软雅黑" w:hAnsi="微软雅黑" w:eastAsia="微软雅黑"/>
          <w:color w:val="000000" w:themeColor="text1"/>
          <w:sz w:val="52"/>
          <w:szCs w:val="52"/>
        </w:rPr>
      </w:pPr>
    </w:p>
    <w:p>
      <w:pPr>
        <w:adjustRightInd w:val="0"/>
        <w:snapToGrid w:val="0"/>
        <w:spacing w:line="360" w:lineRule="auto"/>
        <w:jc w:val="center"/>
        <w:rPr>
          <w:rFonts w:ascii="微软雅黑" w:hAnsi="微软雅黑" w:eastAsia="微软雅黑"/>
          <w:color w:val="000000" w:themeColor="text1"/>
          <w:sz w:val="52"/>
          <w:szCs w:val="52"/>
        </w:rPr>
      </w:pPr>
    </w:p>
    <w:p>
      <w:pPr>
        <w:pStyle w:val="4"/>
        <w:adjustRightInd w:val="0"/>
        <w:snapToGrid w:val="0"/>
        <w:spacing w:before="0" w:after="100" w:afterAutospacing="1" w:line="240" w:lineRule="auto"/>
        <w:jc w:val="center"/>
        <w:rPr>
          <w:rFonts w:ascii="黑体" w:hAnsi="黑体"/>
          <w:bCs w:val="0"/>
          <w:color w:val="000000" w:themeColor="text1"/>
          <w:sz w:val="36"/>
          <w:szCs w:val="36"/>
        </w:rPr>
      </w:pPr>
      <w:bookmarkStart w:id="120" w:name="_Toc193186916"/>
      <w:bookmarkStart w:id="121" w:name="_Toc42206710"/>
      <w:bookmarkStart w:id="122" w:name="_Toc414384930"/>
      <w:r>
        <w:rPr>
          <w:rFonts w:hint="eastAsia" w:ascii="黑体" w:hAnsi="黑体"/>
          <w:bCs w:val="0"/>
          <w:color w:val="000000" w:themeColor="text1"/>
          <w:sz w:val="36"/>
          <w:szCs w:val="36"/>
        </w:rPr>
        <w:t>资</w:t>
      </w:r>
      <w:r>
        <w:rPr>
          <w:rFonts w:ascii="黑体" w:hAnsi="黑体"/>
          <w:bCs w:val="0"/>
          <w:color w:val="000000" w:themeColor="text1"/>
          <w:sz w:val="36"/>
          <w:szCs w:val="36"/>
        </w:rPr>
        <w:t xml:space="preserve"> 质 </w:t>
      </w:r>
      <w:bookmarkEnd w:id="120"/>
      <w:r>
        <w:rPr>
          <w:rFonts w:hint="eastAsia" w:ascii="黑体" w:hAnsi="黑体"/>
          <w:bCs w:val="0"/>
          <w:color w:val="000000" w:themeColor="text1"/>
          <w:sz w:val="36"/>
          <w:szCs w:val="36"/>
        </w:rPr>
        <w:t>卷</w:t>
      </w:r>
      <w:bookmarkEnd w:id="121"/>
      <w:bookmarkEnd w:id="122"/>
    </w:p>
    <w:p>
      <w:pPr>
        <w:adjustRightInd w:val="0"/>
        <w:snapToGrid w:val="0"/>
        <w:spacing w:line="360" w:lineRule="auto"/>
        <w:rPr>
          <w:rFonts w:ascii="仿宋_GB2312" w:hAnsi="宋体" w:eastAsia="仿宋_GB2312"/>
          <w:color w:val="000000" w:themeColor="text1"/>
          <w:sz w:val="28"/>
          <w:szCs w:val="28"/>
        </w:rPr>
      </w:pPr>
    </w:p>
    <w:p>
      <w:pPr>
        <w:adjustRightInd w:val="0"/>
        <w:snapToGrid w:val="0"/>
        <w:spacing w:line="360" w:lineRule="auto"/>
        <w:rPr>
          <w:rFonts w:ascii="仿宋_GB2312" w:hAnsi="宋体" w:eastAsia="仿宋_GB2312"/>
          <w:color w:val="000000" w:themeColor="text1"/>
          <w:sz w:val="28"/>
          <w:szCs w:val="28"/>
        </w:rPr>
      </w:pPr>
    </w:p>
    <w:p>
      <w:pPr>
        <w:rPr>
          <w:color w:val="000000" w:themeColor="text1"/>
        </w:rPr>
      </w:pPr>
    </w:p>
    <w:p>
      <w:pPr>
        <w:adjustRightInd w:val="0"/>
        <w:snapToGrid w:val="0"/>
        <w:spacing w:line="360" w:lineRule="auto"/>
        <w:jc w:val="left"/>
        <w:rPr>
          <w:rFonts w:ascii="宋体" w:hAnsi="宋体"/>
          <w:color w:val="000000" w:themeColor="text1"/>
          <w:sz w:val="32"/>
          <w:szCs w:val="32"/>
        </w:rPr>
      </w:pPr>
      <w:bookmarkStart w:id="123" w:name="_Toc193186917"/>
      <w:bookmarkEnd w:id="123"/>
      <w:bookmarkStart w:id="124" w:name="_Toc193186918"/>
      <w:r>
        <w:rPr>
          <w:rFonts w:hint="eastAsia" w:ascii="宋体" w:hAnsi="宋体"/>
          <w:color w:val="000000" w:themeColor="text1"/>
          <w:sz w:val="32"/>
          <w:szCs w:val="32"/>
        </w:rPr>
        <w:t>投标单位（或联合体牵头单位）名称：</w:t>
      </w:r>
      <w:bookmarkEnd w:id="124"/>
    </w:p>
    <w:p>
      <w:pPr>
        <w:rPr>
          <w:color w:val="000000" w:themeColor="text1"/>
        </w:rPr>
      </w:pPr>
    </w:p>
    <w:p>
      <w:pPr>
        <w:adjustRightInd w:val="0"/>
        <w:snapToGrid w:val="0"/>
        <w:spacing w:line="360" w:lineRule="auto"/>
        <w:jc w:val="center"/>
        <w:rPr>
          <w:rFonts w:ascii="宋体" w:hAnsi="宋体"/>
          <w:color w:val="000000" w:themeColor="text1"/>
          <w:sz w:val="32"/>
          <w:szCs w:val="32"/>
        </w:rPr>
      </w:pPr>
      <w:bookmarkStart w:id="125" w:name="_Toc193186919"/>
      <w:r>
        <w:rPr>
          <w:rFonts w:hint="eastAsia" w:ascii="宋体" w:hAnsi="宋体"/>
          <w:color w:val="000000" w:themeColor="text1"/>
          <w:sz w:val="32"/>
          <w:szCs w:val="32"/>
        </w:rPr>
        <w:t>二〇二〇年月日</w:t>
      </w:r>
      <w:bookmarkEnd w:id="125"/>
    </w:p>
    <w:p>
      <w:pPr>
        <w:rPr>
          <w:color w:val="000000" w:themeColor="text1"/>
        </w:rPr>
      </w:pPr>
    </w:p>
    <w:p>
      <w:pPr>
        <w:adjustRightInd w:val="0"/>
        <w:snapToGrid w:val="0"/>
        <w:spacing w:line="360" w:lineRule="auto"/>
        <w:jc w:val="left"/>
        <w:rPr>
          <w:rFonts w:ascii="宋体" w:hAnsi="宋体"/>
          <w:color w:val="000000" w:themeColor="text1"/>
          <w:sz w:val="32"/>
          <w:szCs w:val="32"/>
        </w:rPr>
        <w:sectPr>
          <w:pgSz w:w="11907" w:h="16840"/>
          <w:pgMar w:top="1440" w:right="1247" w:bottom="1440" w:left="1247" w:header="851" w:footer="992" w:gutter="0"/>
          <w:cols w:space="425" w:num="1"/>
          <w:titlePg/>
          <w:docGrid w:linePitch="312" w:charSpace="0"/>
        </w:sectPr>
      </w:pPr>
      <w:bookmarkStart w:id="126" w:name="_Toc193186920"/>
      <w:bookmarkStart w:id="127" w:name="_Toc175555776"/>
    </w:p>
    <w:bookmarkEnd w:id="126"/>
    <w:bookmarkEnd w:id="127"/>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28" w:name="_Toc42206711"/>
      <w:bookmarkStart w:id="129" w:name="_Toc414384931"/>
      <w:r>
        <w:rPr>
          <w:rFonts w:hint="eastAsia" w:ascii="黑体" w:hAnsi="黑体"/>
          <w:bCs w:val="0"/>
          <w:color w:val="000000" w:themeColor="text1"/>
          <w:sz w:val="36"/>
          <w:szCs w:val="36"/>
        </w:rPr>
        <w:t>表一投标单位基本情况表及以往有关业绩一览表</w:t>
      </w:r>
      <w:bookmarkEnd w:id="128"/>
      <w:bookmarkEnd w:id="129"/>
    </w:p>
    <w:p>
      <w:pPr>
        <w:spacing w:after="240" w:line="360" w:lineRule="auto"/>
        <w:jc w:val="left"/>
        <w:rPr>
          <w:rFonts w:eastAsia="仿宋_GB2312"/>
          <w:color w:val="000000" w:themeColor="text1"/>
        </w:rPr>
      </w:pPr>
    </w:p>
    <w:p>
      <w:pPr>
        <w:spacing w:line="360" w:lineRule="auto"/>
        <w:rPr>
          <w:sz w:val="28"/>
          <w:szCs w:val="28"/>
        </w:rPr>
      </w:pPr>
      <w:r>
        <w:rPr>
          <w:sz w:val="28"/>
          <w:szCs w:val="28"/>
        </w:rPr>
        <w:t>1</w:t>
      </w:r>
      <w:r>
        <w:rPr>
          <w:rFonts w:hint="eastAsia"/>
          <w:sz w:val="28"/>
          <w:szCs w:val="28"/>
        </w:rPr>
        <w:t>、名称及其它情况：</w:t>
      </w:r>
    </w:p>
    <w:p>
      <w:pPr>
        <w:spacing w:line="360" w:lineRule="auto"/>
        <w:rPr>
          <w:sz w:val="28"/>
          <w:szCs w:val="28"/>
        </w:rPr>
      </w:pPr>
      <w:r>
        <w:rPr>
          <w:rFonts w:hint="eastAsia"/>
          <w:sz w:val="28"/>
          <w:szCs w:val="28"/>
        </w:rPr>
        <w:t>（</w:t>
      </w:r>
      <w:r>
        <w:rPr>
          <w:sz w:val="28"/>
          <w:szCs w:val="28"/>
        </w:rPr>
        <w:t>1</w:t>
      </w:r>
      <w:r>
        <w:rPr>
          <w:rFonts w:hint="eastAsia"/>
          <w:sz w:val="28"/>
          <w:szCs w:val="28"/>
        </w:rPr>
        <w:t>）投标人名称：</w:t>
      </w:r>
    </w:p>
    <w:p>
      <w:pPr>
        <w:spacing w:line="360" w:lineRule="auto"/>
        <w:rPr>
          <w:sz w:val="28"/>
          <w:szCs w:val="28"/>
        </w:rPr>
      </w:pPr>
      <w:r>
        <w:rPr>
          <w:rFonts w:hint="eastAsia"/>
          <w:sz w:val="28"/>
          <w:szCs w:val="28"/>
        </w:rPr>
        <w:t>（</w:t>
      </w:r>
      <w:r>
        <w:rPr>
          <w:sz w:val="28"/>
          <w:szCs w:val="28"/>
        </w:rPr>
        <w:t>2</w:t>
      </w:r>
      <w:r>
        <w:rPr>
          <w:rFonts w:hint="eastAsia"/>
          <w:sz w:val="28"/>
          <w:szCs w:val="28"/>
        </w:rPr>
        <w:t>）地址：</w:t>
      </w:r>
    </w:p>
    <w:p>
      <w:pPr>
        <w:spacing w:line="360" w:lineRule="auto"/>
        <w:rPr>
          <w:sz w:val="28"/>
          <w:szCs w:val="28"/>
          <w:u w:val="single"/>
        </w:rPr>
      </w:pPr>
      <w:r>
        <w:rPr>
          <w:rFonts w:hint="eastAsia"/>
          <w:sz w:val="28"/>
          <w:szCs w:val="28"/>
        </w:rPr>
        <w:t>（</w:t>
      </w:r>
      <w:r>
        <w:rPr>
          <w:sz w:val="28"/>
          <w:szCs w:val="28"/>
        </w:rPr>
        <w:t>3</w:t>
      </w:r>
      <w:r>
        <w:rPr>
          <w:rFonts w:hint="eastAsia"/>
          <w:sz w:val="28"/>
          <w:szCs w:val="28"/>
        </w:rPr>
        <w:t>）成立和</w:t>
      </w:r>
      <w:r>
        <w:rPr>
          <w:sz w:val="28"/>
          <w:szCs w:val="28"/>
        </w:rPr>
        <w:t>/</w:t>
      </w:r>
      <w:r>
        <w:rPr>
          <w:rFonts w:hint="eastAsia"/>
          <w:sz w:val="28"/>
          <w:szCs w:val="28"/>
        </w:rPr>
        <w:t>或注册日期：</w:t>
      </w:r>
    </w:p>
    <w:p>
      <w:pPr>
        <w:spacing w:line="360" w:lineRule="auto"/>
        <w:rPr>
          <w:sz w:val="28"/>
          <w:szCs w:val="28"/>
          <w:u w:val="single"/>
        </w:rPr>
      </w:pPr>
      <w:r>
        <w:rPr>
          <w:rFonts w:hint="eastAsia"/>
          <w:sz w:val="28"/>
          <w:szCs w:val="28"/>
        </w:rPr>
        <w:t>（</w:t>
      </w:r>
      <w:r>
        <w:rPr>
          <w:sz w:val="28"/>
          <w:szCs w:val="28"/>
        </w:rPr>
        <w:t>4</w:t>
      </w:r>
      <w:r>
        <w:rPr>
          <w:rFonts w:hint="eastAsia"/>
          <w:sz w:val="28"/>
          <w:szCs w:val="28"/>
        </w:rPr>
        <w:t>）上级主管部门或上属公司：</w:t>
      </w:r>
    </w:p>
    <w:p>
      <w:pPr>
        <w:spacing w:line="360" w:lineRule="auto"/>
        <w:rPr>
          <w:sz w:val="28"/>
          <w:szCs w:val="28"/>
          <w:u w:val="single"/>
        </w:rPr>
      </w:pPr>
      <w:r>
        <w:rPr>
          <w:rFonts w:hint="eastAsia"/>
          <w:sz w:val="28"/>
          <w:szCs w:val="28"/>
        </w:rPr>
        <w:t>（</w:t>
      </w:r>
      <w:r>
        <w:rPr>
          <w:sz w:val="28"/>
          <w:szCs w:val="28"/>
        </w:rPr>
        <w:t>5</w:t>
      </w:r>
      <w:r>
        <w:rPr>
          <w:rFonts w:hint="eastAsia"/>
          <w:sz w:val="28"/>
          <w:szCs w:val="28"/>
        </w:rPr>
        <w:t>）公司性质：</w:t>
      </w:r>
    </w:p>
    <w:p>
      <w:pPr>
        <w:spacing w:line="360" w:lineRule="auto"/>
        <w:rPr>
          <w:sz w:val="28"/>
          <w:szCs w:val="28"/>
        </w:rPr>
      </w:pPr>
      <w:r>
        <w:rPr>
          <w:rFonts w:hint="eastAsia"/>
          <w:sz w:val="28"/>
          <w:szCs w:val="28"/>
        </w:rPr>
        <w:t>（</w:t>
      </w:r>
      <w:r>
        <w:rPr>
          <w:sz w:val="28"/>
          <w:szCs w:val="28"/>
        </w:rPr>
        <w:t>6</w:t>
      </w:r>
      <w:r>
        <w:rPr>
          <w:rFonts w:hint="eastAsia"/>
          <w:sz w:val="28"/>
          <w:szCs w:val="28"/>
        </w:rPr>
        <w:t>）主要负责人：</w:t>
      </w:r>
    </w:p>
    <w:p>
      <w:pPr>
        <w:spacing w:line="360" w:lineRule="auto"/>
        <w:rPr>
          <w:sz w:val="28"/>
          <w:szCs w:val="28"/>
        </w:rPr>
      </w:pPr>
      <w:r>
        <w:rPr>
          <w:rFonts w:hint="eastAsia"/>
          <w:sz w:val="28"/>
          <w:szCs w:val="28"/>
        </w:rPr>
        <w:t>（</w:t>
      </w:r>
      <w:r>
        <w:rPr>
          <w:sz w:val="28"/>
          <w:szCs w:val="28"/>
        </w:rPr>
        <w:t>7</w:t>
      </w:r>
      <w:r>
        <w:rPr>
          <w:rFonts w:hint="eastAsia"/>
          <w:sz w:val="28"/>
          <w:szCs w:val="28"/>
        </w:rPr>
        <w:t>）职员人数：</w:t>
      </w:r>
    </w:p>
    <w:p>
      <w:pPr>
        <w:spacing w:line="360" w:lineRule="auto"/>
        <w:rPr>
          <w:sz w:val="28"/>
          <w:szCs w:val="28"/>
        </w:rPr>
      </w:pPr>
      <w:r>
        <w:rPr>
          <w:rFonts w:hint="eastAsia"/>
          <w:sz w:val="28"/>
          <w:szCs w:val="28"/>
        </w:rPr>
        <w:t>（</w:t>
      </w:r>
      <w:r>
        <w:rPr>
          <w:sz w:val="28"/>
          <w:szCs w:val="28"/>
        </w:rPr>
        <w:t>8</w:t>
      </w:r>
      <w:r>
        <w:rPr>
          <w:rFonts w:hint="eastAsia"/>
          <w:sz w:val="28"/>
          <w:szCs w:val="28"/>
        </w:rPr>
        <w:t>）近期资产负债表、或损益表（如有）</w:t>
      </w:r>
      <w:r>
        <w:rPr>
          <w:sz w:val="28"/>
          <w:szCs w:val="28"/>
        </w:rPr>
        <w:t xml:space="preserve"> (</w:t>
      </w:r>
      <w:r>
        <w:rPr>
          <w:rFonts w:hint="eastAsia"/>
          <w:sz w:val="28"/>
          <w:szCs w:val="28"/>
        </w:rPr>
        <w:t>附件</w:t>
      </w:r>
      <w:r>
        <w:rPr>
          <w:sz w:val="28"/>
          <w:szCs w:val="28"/>
        </w:rPr>
        <w:t>)</w:t>
      </w:r>
    </w:p>
    <w:p>
      <w:pPr>
        <w:spacing w:line="360" w:lineRule="auto"/>
        <w:rPr>
          <w:sz w:val="28"/>
          <w:szCs w:val="28"/>
        </w:rPr>
      </w:pPr>
    </w:p>
    <w:p>
      <w:pPr>
        <w:spacing w:line="360" w:lineRule="auto"/>
        <w:rPr>
          <w:sz w:val="28"/>
          <w:szCs w:val="28"/>
        </w:rPr>
      </w:pPr>
      <w:r>
        <w:rPr>
          <w:sz w:val="28"/>
          <w:szCs w:val="28"/>
        </w:rPr>
        <w:t>2</w:t>
      </w:r>
      <w:r>
        <w:rPr>
          <w:rFonts w:hint="eastAsia"/>
          <w:sz w:val="28"/>
          <w:szCs w:val="28"/>
        </w:rPr>
        <w:t>、最近三年的年度总营业额：</w:t>
      </w:r>
    </w:p>
    <w:p>
      <w:pPr>
        <w:spacing w:line="360" w:lineRule="auto"/>
        <w:rPr>
          <w:sz w:val="28"/>
          <w:szCs w:val="28"/>
          <w:u w:val="single"/>
        </w:rPr>
      </w:pPr>
      <w:r>
        <w:rPr>
          <w:rFonts w:hint="eastAsia"/>
          <w:sz w:val="28"/>
          <w:szCs w:val="28"/>
        </w:rPr>
        <w:t>年份国内出口总额（如有）</w:t>
      </w:r>
    </w:p>
    <w:p>
      <w:pPr>
        <w:spacing w:line="360" w:lineRule="auto"/>
        <w:rPr>
          <w:sz w:val="28"/>
          <w:szCs w:val="28"/>
          <w:u w:val="single"/>
        </w:rPr>
      </w:pPr>
    </w:p>
    <w:p>
      <w:pPr>
        <w:numPr>
          <w:ilvl w:val="0"/>
          <w:numId w:val="5"/>
        </w:numPr>
        <w:spacing w:line="360" w:lineRule="auto"/>
        <w:rPr>
          <w:sz w:val="28"/>
          <w:szCs w:val="28"/>
        </w:rPr>
      </w:pPr>
      <w:r>
        <w:rPr>
          <w:rFonts w:hint="eastAsia"/>
          <w:sz w:val="28"/>
          <w:szCs w:val="28"/>
        </w:rPr>
        <w:t>最近三年类似产品销售（或技术服务）主要用户：</w:t>
      </w:r>
    </w:p>
    <w:p>
      <w:pPr>
        <w:spacing w:line="360" w:lineRule="auto"/>
        <w:rPr>
          <w:sz w:val="28"/>
          <w:szCs w:val="28"/>
        </w:rPr>
      </w:pPr>
      <w:r>
        <w:rPr>
          <w:rFonts w:hint="eastAsia"/>
          <w:sz w:val="28"/>
          <w:szCs w:val="28"/>
        </w:rPr>
        <w:t>项目和数量，用户名称、地址</w:t>
      </w:r>
    </w:p>
    <w:p>
      <w:pPr>
        <w:spacing w:line="360" w:lineRule="auto"/>
        <w:rPr>
          <w:sz w:val="28"/>
          <w:szCs w:val="28"/>
        </w:rPr>
      </w:pPr>
    </w:p>
    <w:p>
      <w:pPr>
        <w:spacing w:line="360" w:lineRule="auto"/>
        <w:rPr>
          <w:sz w:val="28"/>
          <w:szCs w:val="28"/>
        </w:rPr>
      </w:pPr>
      <w:r>
        <w:rPr>
          <w:sz w:val="28"/>
          <w:szCs w:val="28"/>
        </w:rPr>
        <w:t>4</w:t>
      </w:r>
      <w:r>
        <w:rPr>
          <w:rFonts w:hint="eastAsia"/>
          <w:sz w:val="28"/>
          <w:szCs w:val="28"/>
        </w:rPr>
        <w:t>、有关开户银行的名称和地址：</w:t>
      </w:r>
    </w:p>
    <w:p>
      <w:pPr>
        <w:spacing w:line="360" w:lineRule="auto"/>
        <w:rPr>
          <w:sz w:val="28"/>
          <w:szCs w:val="28"/>
        </w:rPr>
      </w:pPr>
      <w:r>
        <w:rPr>
          <w:sz w:val="28"/>
          <w:szCs w:val="28"/>
        </w:rPr>
        <w:t>5</w:t>
      </w:r>
      <w:r>
        <w:rPr>
          <w:rFonts w:hint="eastAsia"/>
          <w:sz w:val="28"/>
          <w:szCs w:val="28"/>
        </w:rPr>
        <w:t>、投标人认为需要声明的其它情况：</w:t>
      </w:r>
    </w:p>
    <w:p>
      <w:pPr>
        <w:spacing w:line="360" w:lineRule="auto"/>
        <w:rPr>
          <w:sz w:val="28"/>
          <w:szCs w:val="28"/>
        </w:rPr>
      </w:pPr>
      <w:r>
        <w:rPr>
          <w:rFonts w:hint="eastAsia"/>
          <w:sz w:val="28"/>
          <w:szCs w:val="28"/>
        </w:rPr>
        <w:t>　　兹证明上述声明是真实的、正确的，并提供了全部能提供的资料和数据，我们同意遵照贵方要求出示有关证明文件。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日期：年　月　日</w:t>
      </w:r>
    </w:p>
    <w:p>
      <w:pPr>
        <w:spacing w:line="360" w:lineRule="auto"/>
        <w:rPr>
          <w:sz w:val="28"/>
          <w:szCs w:val="28"/>
        </w:rPr>
      </w:pPr>
      <w:r>
        <w:rPr>
          <w:rFonts w:hint="eastAsia"/>
          <w:sz w:val="28"/>
          <w:szCs w:val="28"/>
        </w:rPr>
        <w:t>授权代表签字：</w:t>
      </w:r>
    </w:p>
    <w:p>
      <w:pPr>
        <w:spacing w:line="360" w:lineRule="auto"/>
        <w:rPr>
          <w:sz w:val="28"/>
          <w:szCs w:val="28"/>
        </w:rPr>
      </w:pPr>
      <w:r>
        <w:rPr>
          <w:rFonts w:hint="eastAsia"/>
          <w:sz w:val="28"/>
          <w:szCs w:val="28"/>
        </w:rPr>
        <w:t>授权代表的职务：</w:t>
      </w:r>
    </w:p>
    <w:p>
      <w:pPr>
        <w:spacing w:line="360" w:lineRule="auto"/>
        <w:rPr>
          <w:sz w:val="28"/>
          <w:szCs w:val="28"/>
        </w:rPr>
      </w:pPr>
      <w:r>
        <w:rPr>
          <w:rFonts w:hint="eastAsia"/>
          <w:sz w:val="28"/>
          <w:szCs w:val="28"/>
        </w:rPr>
        <w:t>电话：</w:t>
      </w:r>
    </w:p>
    <w:p>
      <w:pPr>
        <w:spacing w:line="360" w:lineRule="auto"/>
        <w:rPr>
          <w:sz w:val="28"/>
          <w:szCs w:val="28"/>
        </w:rPr>
      </w:pPr>
      <w:r>
        <w:rPr>
          <w:rFonts w:hint="eastAsia"/>
          <w:sz w:val="28"/>
          <w:szCs w:val="28"/>
        </w:rPr>
        <w:t>传真：</w:t>
      </w:r>
    </w:p>
    <w:p>
      <w:pPr>
        <w:spacing w:line="360" w:lineRule="auto"/>
        <w:rPr>
          <w:sz w:val="28"/>
          <w:szCs w:val="28"/>
          <w:u w:val="single"/>
        </w:rPr>
      </w:pPr>
      <w:r>
        <w:rPr>
          <w:rFonts w:hint="eastAsia"/>
          <w:sz w:val="28"/>
          <w:szCs w:val="28"/>
        </w:rPr>
        <w:t>公章：</w:t>
      </w:r>
    </w:p>
    <w:p>
      <w:pPr>
        <w:rPr>
          <w:rFonts w:ascii="宋体" w:hAnsi="宋体"/>
          <w:sz w:val="24"/>
        </w:rPr>
      </w:pPr>
    </w:p>
    <w:p>
      <w:pPr>
        <w:rPr>
          <w:rFonts w:ascii="宋体" w:hAnsi="宋体"/>
          <w:color w:val="FF0000"/>
          <w:sz w:val="24"/>
        </w:rPr>
      </w:pPr>
      <w:r>
        <w:rPr>
          <w:rFonts w:hint="eastAsia" w:ascii="宋体" w:hAnsi="宋体"/>
          <w:color w:val="FF0000"/>
          <w:sz w:val="24"/>
        </w:rPr>
        <w:t>注意：如为联合体投标，各成员单位提供本单位基本情况表及以往有关业绩资料，由牵头单位汇总；由联合体牵头单位授权1名代表签字，由联合体牵头单位盖章。</w:t>
      </w:r>
    </w:p>
    <w:p>
      <w:pPr>
        <w:pStyle w:val="4"/>
        <w:adjustRightInd w:val="0"/>
        <w:snapToGrid w:val="0"/>
        <w:spacing w:before="0" w:after="100" w:afterAutospacing="1" w:line="240" w:lineRule="auto"/>
        <w:jc w:val="left"/>
        <w:rPr>
          <w:rFonts w:ascii="黑体" w:hAnsi="黑体"/>
          <w:bCs w:val="0"/>
          <w:color w:val="000000" w:themeColor="text1"/>
          <w:sz w:val="36"/>
          <w:szCs w:val="36"/>
        </w:rPr>
      </w:pPr>
      <w:r>
        <w:rPr>
          <w:rFonts w:eastAsia="仿宋_GB2312"/>
          <w:color w:val="000000" w:themeColor="text1"/>
        </w:rPr>
        <w:br w:type="page"/>
      </w:r>
      <w:bookmarkStart w:id="130" w:name="_Toc42206712"/>
      <w:bookmarkStart w:id="131" w:name="_Toc414384932"/>
      <w:bookmarkStart w:id="132" w:name="_Toc193186930"/>
      <w:r>
        <w:rPr>
          <w:rFonts w:hint="eastAsia" w:ascii="黑体" w:hAnsi="黑体"/>
          <w:bCs w:val="0"/>
          <w:color w:val="000000" w:themeColor="text1"/>
          <w:sz w:val="36"/>
          <w:szCs w:val="36"/>
        </w:rPr>
        <w:t>表二投标单位与本项目有关组织结构一览表</w:t>
      </w:r>
      <w:bookmarkEnd w:id="130"/>
      <w:bookmarkEnd w:id="131"/>
    </w:p>
    <w:tbl>
      <w:tblPr>
        <w:tblStyle w:val="41"/>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2127"/>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80" w:hRule="atLeast"/>
          <w:jc w:val="center"/>
        </w:trPr>
        <w:tc>
          <w:tcPr>
            <w:tcW w:w="2127" w:type="dxa"/>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内设机构</w:t>
            </w:r>
          </w:p>
        </w:tc>
        <w:tc>
          <w:tcPr>
            <w:tcW w:w="7263" w:type="dxa"/>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各类人员构成情况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893" w:hRule="atLeast"/>
          <w:jc w:val="center"/>
        </w:trPr>
        <w:tc>
          <w:tcPr>
            <w:tcW w:w="2127" w:type="dxa"/>
          </w:tcPr>
          <w:p>
            <w:pPr>
              <w:autoSpaceDE w:val="0"/>
              <w:autoSpaceDN w:val="0"/>
              <w:adjustRightInd w:val="0"/>
              <w:jc w:val="center"/>
              <w:rPr>
                <w:rFonts w:ascii="宋体"/>
                <w:color w:val="000000" w:themeColor="text1"/>
                <w:kern w:val="0"/>
                <w:sz w:val="28"/>
              </w:rPr>
            </w:pPr>
          </w:p>
        </w:tc>
        <w:tc>
          <w:tcPr>
            <w:tcW w:w="7263" w:type="dxa"/>
          </w:tcPr>
          <w:p>
            <w:pPr>
              <w:autoSpaceDE w:val="0"/>
              <w:autoSpaceDN w:val="0"/>
              <w:adjustRightInd w:val="0"/>
              <w:jc w:val="left"/>
              <w:rPr>
                <w:rFonts w:ascii="宋体"/>
                <w:color w:val="000000" w:themeColor="text1"/>
                <w:kern w:val="0"/>
                <w:sz w:val="28"/>
              </w:rPr>
            </w:pPr>
          </w:p>
        </w:tc>
      </w:tr>
    </w:tbl>
    <w:p>
      <w:pPr>
        <w:rPr>
          <w:rFonts w:ascii="宋体"/>
          <w:color w:val="000000" w:themeColor="text1"/>
          <w:kern w:val="0"/>
          <w:sz w:val="28"/>
        </w:rPr>
      </w:pPr>
      <w:r>
        <w:rPr>
          <w:rFonts w:hint="eastAsia" w:ascii="宋体"/>
          <w:color w:val="000000" w:themeColor="text1"/>
          <w:kern w:val="0"/>
          <w:sz w:val="28"/>
        </w:rPr>
        <w:t>注：栏目不足可以续表</w:t>
      </w:r>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bookmarkEnd w:id="132"/>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33" w:name="_Toc193186932"/>
      <w:bookmarkStart w:id="134" w:name="_Toc414384933"/>
      <w:bookmarkStart w:id="135" w:name="_Toc42206713"/>
      <w:r>
        <w:rPr>
          <w:rFonts w:hint="eastAsia" w:ascii="黑体" w:hAnsi="黑体"/>
          <w:bCs w:val="0"/>
          <w:color w:val="000000" w:themeColor="text1"/>
          <w:sz w:val="36"/>
          <w:szCs w:val="36"/>
        </w:rPr>
        <w:t>表三投标单位与本项目有关主要装备一览表</w:t>
      </w:r>
      <w:bookmarkEnd w:id="133"/>
      <w:bookmarkEnd w:id="134"/>
      <w:bookmarkEnd w:id="135"/>
    </w:p>
    <w:tbl>
      <w:tblPr>
        <w:tblStyle w:val="41"/>
        <w:tblW w:w="9644" w:type="dxa"/>
        <w:jc w:val="center"/>
        <w:tblLayout w:type="fixed"/>
        <w:tblCellMar>
          <w:top w:w="0" w:type="dxa"/>
          <w:left w:w="54" w:type="dxa"/>
          <w:bottom w:w="0" w:type="dxa"/>
          <w:right w:w="54" w:type="dxa"/>
        </w:tblCellMar>
      </w:tblPr>
      <w:tblGrid>
        <w:gridCol w:w="789"/>
        <w:gridCol w:w="1413"/>
        <w:gridCol w:w="843"/>
        <w:gridCol w:w="1128"/>
        <w:gridCol w:w="1413"/>
        <w:gridCol w:w="1358"/>
        <w:gridCol w:w="1260"/>
        <w:gridCol w:w="1440"/>
      </w:tblGrid>
      <w:tr>
        <w:tblPrEx>
          <w:tblCellMar>
            <w:top w:w="0" w:type="dxa"/>
            <w:left w:w="54" w:type="dxa"/>
            <w:bottom w:w="0" w:type="dxa"/>
            <w:right w:w="54" w:type="dxa"/>
          </w:tblCellMar>
        </w:tblPrEx>
        <w:trPr>
          <w:cantSplit/>
          <w:trHeight w:val="480" w:hRule="atLeast"/>
          <w:jc w:val="center"/>
        </w:trPr>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序号</w:t>
            </w: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设备名称</w:t>
            </w:r>
          </w:p>
        </w:tc>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型号</w:t>
            </w: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数量</w:t>
            </w: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购置日期</w:t>
            </w:r>
          </w:p>
        </w:tc>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近期检测使用情况</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设备隶属单位</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备注</w:t>
            </w: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r>
        <w:tblPrEx>
          <w:tblCellMar>
            <w:top w:w="0" w:type="dxa"/>
            <w:left w:w="54" w:type="dxa"/>
            <w:bottom w:w="0" w:type="dxa"/>
            <w:right w:w="54" w:type="dxa"/>
          </w:tblCellMar>
        </w:tblPrEx>
        <w:trPr>
          <w:cantSplit/>
          <w:trHeight w:val="694" w:hRule="atLeast"/>
          <w:jc w:val="center"/>
        </w:trPr>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8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1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1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3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color w:val="000000" w:themeColor="text1"/>
                <w:kern w:val="0"/>
                <w:sz w:val="24"/>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olor w:val="000000" w:themeColor="text1"/>
                <w:kern w:val="0"/>
                <w:sz w:val="24"/>
              </w:rPr>
            </w:pPr>
          </w:p>
        </w:tc>
      </w:tr>
    </w:tbl>
    <w:p>
      <w:pPr>
        <w:autoSpaceDE w:val="0"/>
        <w:autoSpaceDN w:val="0"/>
        <w:adjustRightInd w:val="0"/>
        <w:jc w:val="left"/>
        <w:rPr>
          <w:rFonts w:ascii="宋体"/>
          <w:color w:val="000000" w:themeColor="text1"/>
          <w:kern w:val="0"/>
          <w:sz w:val="28"/>
        </w:rPr>
      </w:pPr>
      <w:r>
        <w:rPr>
          <w:rFonts w:hint="eastAsia" w:ascii="宋体"/>
          <w:color w:val="000000" w:themeColor="text1"/>
          <w:kern w:val="0"/>
          <w:sz w:val="28"/>
        </w:rPr>
        <w:t>注：栏目不足可以续表</w:t>
      </w:r>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autoSpaceDE w:val="0"/>
        <w:autoSpaceDN w:val="0"/>
        <w:adjustRightInd w:val="0"/>
        <w:jc w:val="left"/>
        <w:rPr>
          <w:rFonts w:ascii="宋体"/>
          <w:color w:val="000000" w:themeColor="text1"/>
          <w:kern w:val="0"/>
          <w:sz w:val="20"/>
        </w:rPr>
      </w:pPr>
    </w:p>
    <w:p>
      <w:pPr>
        <w:pStyle w:val="4"/>
        <w:adjustRightInd w:val="0"/>
        <w:snapToGrid w:val="0"/>
        <w:spacing w:before="0" w:after="100" w:afterAutospacing="1" w:line="240" w:lineRule="auto"/>
        <w:jc w:val="left"/>
        <w:rPr>
          <w:rFonts w:ascii="黑体" w:hAnsi="黑体"/>
          <w:bCs w:val="0"/>
          <w:color w:val="000000" w:themeColor="text1"/>
          <w:sz w:val="36"/>
          <w:szCs w:val="36"/>
        </w:rPr>
      </w:pPr>
      <w:r>
        <w:rPr>
          <w:rFonts w:ascii="黑体"/>
          <w:b w:val="0"/>
          <w:color w:val="000000" w:themeColor="text1"/>
          <w:sz w:val="44"/>
          <w:szCs w:val="44"/>
        </w:rPr>
        <w:br w:type="page"/>
      </w:r>
      <w:bookmarkStart w:id="136" w:name="_Toc414384934"/>
      <w:bookmarkStart w:id="137" w:name="_Toc42206714"/>
      <w:r>
        <w:rPr>
          <w:rFonts w:hint="eastAsia" w:ascii="黑体" w:hAnsi="黑体"/>
          <w:bCs w:val="0"/>
          <w:color w:val="000000" w:themeColor="text1"/>
          <w:sz w:val="36"/>
          <w:szCs w:val="36"/>
        </w:rPr>
        <w:t>表四拟投入本合同的服务人员情况</w:t>
      </w:r>
      <w:bookmarkEnd w:id="136"/>
      <w:bookmarkEnd w:id="137"/>
    </w:p>
    <w:p>
      <w:pPr>
        <w:autoSpaceDE w:val="0"/>
        <w:autoSpaceDN w:val="0"/>
        <w:adjustRightInd w:val="0"/>
        <w:rPr>
          <w:rFonts w:ascii="宋体"/>
          <w:color w:val="000000" w:themeColor="text1"/>
          <w:kern w:val="0"/>
          <w:sz w:val="20"/>
        </w:rPr>
      </w:pPr>
    </w:p>
    <w:tbl>
      <w:tblPr>
        <w:tblStyle w:val="41"/>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1"/>
        <w:gridCol w:w="264"/>
        <w:gridCol w:w="710"/>
        <w:gridCol w:w="598"/>
        <w:gridCol w:w="112"/>
        <w:gridCol w:w="355"/>
        <w:gridCol w:w="979"/>
        <w:gridCol w:w="452"/>
        <w:gridCol w:w="848"/>
        <w:gridCol w:w="120"/>
        <w:gridCol w:w="188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6" w:type="dxa"/>
            <w:gridSpan w:val="2"/>
            <w:vAlign w:val="center"/>
          </w:tcPr>
          <w:p>
            <w:pPr>
              <w:jc w:val="center"/>
              <w:rPr>
                <w:color w:val="000000" w:themeColor="text1"/>
              </w:rPr>
            </w:pPr>
            <w:r>
              <w:rPr>
                <w:rFonts w:hint="eastAsia"/>
                <w:color w:val="000000" w:themeColor="text1"/>
              </w:rPr>
              <w:t>总人数</w:t>
            </w:r>
          </w:p>
        </w:tc>
        <w:tc>
          <w:tcPr>
            <w:tcW w:w="1572" w:type="dxa"/>
            <w:gridSpan w:val="3"/>
            <w:vAlign w:val="center"/>
          </w:tcPr>
          <w:p>
            <w:pPr>
              <w:jc w:val="center"/>
              <w:rPr>
                <w:color w:val="000000" w:themeColor="text1"/>
              </w:rPr>
            </w:pPr>
          </w:p>
        </w:tc>
        <w:tc>
          <w:tcPr>
            <w:tcW w:w="1446" w:type="dxa"/>
            <w:gridSpan w:val="3"/>
            <w:vAlign w:val="center"/>
          </w:tcPr>
          <w:p>
            <w:pPr>
              <w:jc w:val="center"/>
              <w:rPr>
                <w:color w:val="000000" w:themeColor="text1"/>
              </w:rPr>
            </w:pPr>
            <w:r>
              <w:rPr>
                <w:rFonts w:hint="eastAsia"/>
                <w:color w:val="000000" w:themeColor="text1"/>
              </w:rPr>
              <w:t>项目负责人</w:t>
            </w:r>
          </w:p>
        </w:tc>
        <w:tc>
          <w:tcPr>
            <w:tcW w:w="1420" w:type="dxa"/>
            <w:gridSpan w:val="3"/>
            <w:vAlign w:val="center"/>
          </w:tcPr>
          <w:p>
            <w:pPr>
              <w:jc w:val="center"/>
              <w:rPr>
                <w:color w:val="000000" w:themeColor="text1"/>
              </w:rPr>
            </w:pPr>
          </w:p>
        </w:tc>
        <w:tc>
          <w:tcPr>
            <w:tcW w:w="1880" w:type="dxa"/>
            <w:vAlign w:val="center"/>
          </w:tcPr>
          <w:p>
            <w:pPr>
              <w:jc w:val="center"/>
              <w:rPr>
                <w:color w:val="000000" w:themeColor="text1"/>
              </w:rPr>
            </w:pPr>
            <w:r>
              <w:rPr>
                <w:rFonts w:hint="eastAsia"/>
                <w:color w:val="000000" w:themeColor="text1"/>
              </w:rPr>
              <w:t>技术负责人</w:t>
            </w:r>
          </w:p>
        </w:tc>
        <w:tc>
          <w:tcPr>
            <w:tcW w:w="1414"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6" w:type="dxa"/>
            <w:gridSpan w:val="2"/>
            <w:vAlign w:val="center"/>
          </w:tcPr>
          <w:p>
            <w:pPr>
              <w:jc w:val="center"/>
              <w:rPr>
                <w:color w:val="000000" w:themeColor="text1"/>
              </w:rPr>
            </w:pPr>
            <w:r>
              <w:rPr>
                <w:rFonts w:hint="eastAsia"/>
                <w:color w:val="000000" w:themeColor="text1"/>
              </w:rPr>
              <w:t>管理人员</w:t>
            </w:r>
          </w:p>
        </w:tc>
        <w:tc>
          <w:tcPr>
            <w:tcW w:w="1572" w:type="dxa"/>
            <w:gridSpan w:val="3"/>
            <w:vAlign w:val="center"/>
          </w:tcPr>
          <w:p>
            <w:pPr>
              <w:jc w:val="center"/>
              <w:rPr>
                <w:color w:val="000000" w:themeColor="text1"/>
              </w:rPr>
            </w:pPr>
          </w:p>
        </w:tc>
        <w:tc>
          <w:tcPr>
            <w:tcW w:w="1446" w:type="dxa"/>
            <w:gridSpan w:val="3"/>
            <w:vAlign w:val="center"/>
          </w:tcPr>
          <w:p>
            <w:pPr>
              <w:jc w:val="center"/>
              <w:rPr>
                <w:color w:val="000000" w:themeColor="text1"/>
              </w:rPr>
            </w:pPr>
            <w:r>
              <w:rPr>
                <w:rFonts w:hint="eastAsia"/>
                <w:color w:val="000000" w:themeColor="text1"/>
              </w:rPr>
              <w:t>其他</w:t>
            </w:r>
          </w:p>
        </w:tc>
        <w:tc>
          <w:tcPr>
            <w:tcW w:w="4714" w:type="dxa"/>
            <w:gridSpan w:val="5"/>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888" w:type="dxa"/>
            <w:gridSpan w:val="13"/>
            <w:vAlign w:val="center"/>
          </w:tcPr>
          <w:p>
            <w:pPr>
              <w:rPr>
                <w:color w:val="000000" w:themeColor="text1"/>
                <w:spacing w:val="56"/>
              </w:rPr>
            </w:pPr>
            <w:r>
              <w:rPr>
                <w:rFonts w:hint="eastAsia"/>
                <w:color w:val="000000" w:themeColor="text1"/>
                <w:spacing w:val="56"/>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65" w:type="dxa"/>
            <w:vAlign w:val="center"/>
          </w:tcPr>
          <w:p>
            <w:pPr>
              <w:jc w:val="center"/>
              <w:rPr>
                <w:color w:val="000000" w:themeColor="text1"/>
              </w:rPr>
            </w:pPr>
            <w:r>
              <w:rPr>
                <w:rFonts w:hint="eastAsia"/>
                <w:color w:val="000000" w:themeColor="text1"/>
              </w:rPr>
              <w:t>姓名</w:t>
            </w:r>
          </w:p>
        </w:tc>
        <w:tc>
          <w:tcPr>
            <w:tcW w:w="1065" w:type="dxa"/>
            <w:gridSpan w:val="3"/>
            <w:vAlign w:val="center"/>
          </w:tcPr>
          <w:p>
            <w:pPr>
              <w:jc w:val="center"/>
              <w:rPr>
                <w:color w:val="000000" w:themeColor="text1"/>
              </w:rPr>
            </w:pPr>
            <w:r>
              <w:rPr>
                <w:rFonts w:hint="eastAsia"/>
                <w:color w:val="000000" w:themeColor="text1"/>
              </w:rPr>
              <w:t>年龄</w:t>
            </w:r>
          </w:p>
        </w:tc>
        <w:tc>
          <w:tcPr>
            <w:tcW w:w="1065" w:type="dxa"/>
            <w:gridSpan w:val="3"/>
            <w:vAlign w:val="center"/>
          </w:tcPr>
          <w:p>
            <w:pPr>
              <w:jc w:val="center"/>
              <w:rPr>
                <w:color w:val="000000" w:themeColor="text1"/>
              </w:rPr>
            </w:pPr>
            <w:r>
              <w:rPr>
                <w:rFonts w:hint="eastAsia"/>
                <w:color w:val="000000" w:themeColor="text1"/>
              </w:rPr>
              <w:t>现职务</w:t>
            </w:r>
          </w:p>
        </w:tc>
        <w:tc>
          <w:tcPr>
            <w:tcW w:w="1431" w:type="dxa"/>
            <w:gridSpan w:val="2"/>
            <w:vAlign w:val="center"/>
          </w:tcPr>
          <w:p>
            <w:pPr>
              <w:jc w:val="center"/>
              <w:rPr>
                <w:color w:val="000000" w:themeColor="text1"/>
              </w:rPr>
            </w:pPr>
            <w:r>
              <w:rPr>
                <w:rFonts w:hint="eastAsia"/>
                <w:color w:val="000000" w:themeColor="text1"/>
              </w:rPr>
              <w:t>职称</w:t>
            </w:r>
          </w:p>
        </w:tc>
        <w:tc>
          <w:tcPr>
            <w:tcW w:w="4262" w:type="dxa"/>
            <w:gridSpan w:val="4"/>
            <w:vAlign w:val="center"/>
          </w:tcPr>
          <w:p>
            <w:pPr>
              <w:jc w:val="center"/>
              <w:rPr>
                <w:color w:val="000000" w:themeColor="text1"/>
                <w:spacing w:val="60"/>
              </w:rPr>
            </w:pPr>
            <w:r>
              <w:rPr>
                <w:rFonts w:hint="eastAsia"/>
                <w:color w:val="000000" w:themeColor="text1"/>
                <w:spacing w:val="60"/>
              </w:rPr>
              <w:t>从事工作年限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65" w:type="dxa"/>
            <w:vAlign w:val="center"/>
          </w:tcPr>
          <w:p>
            <w:pPr>
              <w:jc w:val="center"/>
              <w:rPr>
                <w:color w:val="000000" w:themeColor="text1"/>
              </w:rPr>
            </w:pPr>
          </w:p>
        </w:tc>
        <w:tc>
          <w:tcPr>
            <w:tcW w:w="1065" w:type="dxa"/>
            <w:gridSpan w:val="3"/>
            <w:vAlign w:val="center"/>
          </w:tcPr>
          <w:p>
            <w:pPr>
              <w:jc w:val="center"/>
              <w:rPr>
                <w:color w:val="000000" w:themeColor="text1"/>
              </w:rPr>
            </w:pPr>
          </w:p>
        </w:tc>
        <w:tc>
          <w:tcPr>
            <w:tcW w:w="1065" w:type="dxa"/>
            <w:gridSpan w:val="3"/>
            <w:vAlign w:val="center"/>
          </w:tcPr>
          <w:p>
            <w:pPr>
              <w:jc w:val="center"/>
              <w:rPr>
                <w:color w:val="000000" w:themeColor="text1"/>
              </w:rPr>
            </w:pPr>
          </w:p>
        </w:tc>
        <w:tc>
          <w:tcPr>
            <w:tcW w:w="1431" w:type="dxa"/>
            <w:gridSpan w:val="2"/>
            <w:vAlign w:val="center"/>
          </w:tcPr>
          <w:p>
            <w:pPr>
              <w:jc w:val="center"/>
              <w:rPr>
                <w:color w:val="000000" w:themeColor="text1"/>
              </w:rPr>
            </w:pPr>
          </w:p>
        </w:tc>
        <w:tc>
          <w:tcPr>
            <w:tcW w:w="4262" w:type="dxa"/>
            <w:gridSpan w:val="4"/>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65" w:type="dxa"/>
            <w:vAlign w:val="center"/>
          </w:tcPr>
          <w:p>
            <w:pPr>
              <w:jc w:val="center"/>
              <w:rPr>
                <w:color w:val="000000" w:themeColor="text1"/>
              </w:rPr>
            </w:pPr>
          </w:p>
        </w:tc>
        <w:tc>
          <w:tcPr>
            <w:tcW w:w="1065" w:type="dxa"/>
            <w:gridSpan w:val="3"/>
            <w:vAlign w:val="center"/>
          </w:tcPr>
          <w:p>
            <w:pPr>
              <w:jc w:val="center"/>
              <w:rPr>
                <w:color w:val="000000" w:themeColor="text1"/>
              </w:rPr>
            </w:pPr>
          </w:p>
        </w:tc>
        <w:tc>
          <w:tcPr>
            <w:tcW w:w="1065" w:type="dxa"/>
            <w:gridSpan w:val="3"/>
            <w:vAlign w:val="center"/>
          </w:tcPr>
          <w:p>
            <w:pPr>
              <w:jc w:val="center"/>
              <w:rPr>
                <w:color w:val="000000" w:themeColor="text1"/>
              </w:rPr>
            </w:pPr>
          </w:p>
        </w:tc>
        <w:tc>
          <w:tcPr>
            <w:tcW w:w="1431" w:type="dxa"/>
            <w:gridSpan w:val="2"/>
            <w:vAlign w:val="center"/>
          </w:tcPr>
          <w:p>
            <w:pPr>
              <w:jc w:val="center"/>
              <w:rPr>
                <w:color w:val="000000" w:themeColor="text1"/>
              </w:rPr>
            </w:pPr>
          </w:p>
        </w:tc>
        <w:tc>
          <w:tcPr>
            <w:tcW w:w="4262" w:type="dxa"/>
            <w:gridSpan w:val="4"/>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65" w:type="dxa"/>
            <w:vAlign w:val="center"/>
          </w:tcPr>
          <w:p>
            <w:pPr>
              <w:jc w:val="center"/>
              <w:rPr>
                <w:color w:val="000000" w:themeColor="text1"/>
              </w:rPr>
            </w:pPr>
          </w:p>
        </w:tc>
        <w:tc>
          <w:tcPr>
            <w:tcW w:w="1065" w:type="dxa"/>
            <w:gridSpan w:val="3"/>
            <w:vAlign w:val="center"/>
          </w:tcPr>
          <w:p>
            <w:pPr>
              <w:jc w:val="center"/>
              <w:rPr>
                <w:color w:val="000000" w:themeColor="text1"/>
              </w:rPr>
            </w:pPr>
          </w:p>
        </w:tc>
        <w:tc>
          <w:tcPr>
            <w:tcW w:w="1065" w:type="dxa"/>
            <w:gridSpan w:val="3"/>
            <w:vAlign w:val="center"/>
          </w:tcPr>
          <w:p>
            <w:pPr>
              <w:jc w:val="center"/>
              <w:rPr>
                <w:color w:val="000000" w:themeColor="text1"/>
              </w:rPr>
            </w:pPr>
          </w:p>
        </w:tc>
        <w:tc>
          <w:tcPr>
            <w:tcW w:w="1431" w:type="dxa"/>
            <w:gridSpan w:val="2"/>
            <w:vAlign w:val="center"/>
          </w:tcPr>
          <w:p>
            <w:pPr>
              <w:jc w:val="center"/>
              <w:rPr>
                <w:color w:val="000000" w:themeColor="text1"/>
              </w:rPr>
            </w:pPr>
          </w:p>
        </w:tc>
        <w:tc>
          <w:tcPr>
            <w:tcW w:w="4262" w:type="dxa"/>
            <w:gridSpan w:val="4"/>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888" w:type="dxa"/>
            <w:gridSpan w:val="13"/>
            <w:vAlign w:val="center"/>
          </w:tcPr>
          <w:p>
            <w:pPr>
              <w:rPr>
                <w:color w:val="000000" w:themeColor="text1"/>
                <w:spacing w:val="56"/>
              </w:rPr>
            </w:pPr>
            <w:r>
              <w:rPr>
                <w:rFonts w:hint="eastAsia"/>
                <w:color w:val="000000" w:themeColor="text1"/>
                <w:spacing w:val="56"/>
              </w:rPr>
              <w:t>技术负责人情况: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r>
              <w:rPr>
                <w:rFonts w:hint="eastAsia"/>
                <w:color w:val="000000" w:themeColor="text1"/>
              </w:rPr>
              <w:t>姓名</w:t>
            </w:r>
          </w:p>
        </w:tc>
        <w:tc>
          <w:tcPr>
            <w:tcW w:w="1420" w:type="dxa"/>
            <w:gridSpan w:val="3"/>
            <w:vAlign w:val="center"/>
          </w:tcPr>
          <w:p>
            <w:pPr>
              <w:jc w:val="center"/>
              <w:rPr>
                <w:color w:val="000000" w:themeColor="text1"/>
              </w:rPr>
            </w:pPr>
            <w:r>
              <w:rPr>
                <w:rFonts w:hint="eastAsia"/>
                <w:color w:val="000000" w:themeColor="text1"/>
              </w:rPr>
              <w:t>年龄</w:t>
            </w:r>
          </w:p>
        </w:tc>
        <w:tc>
          <w:tcPr>
            <w:tcW w:w="1786" w:type="dxa"/>
            <w:gridSpan w:val="3"/>
            <w:vAlign w:val="center"/>
          </w:tcPr>
          <w:p>
            <w:pPr>
              <w:jc w:val="center"/>
              <w:rPr>
                <w:color w:val="000000" w:themeColor="text1"/>
              </w:rPr>
            </w:pPr>
            <w:r>
              <w:rPr>
                <w:rFonts w:hint="eastAsia"/>
                <w:color w:val="000000" w:themeColor="text1"/>
              </w:rPr>
              <w:t>职称</w:t>
            </w:r>
          </w:p>
        </w:tc>
        <w:tc>
          <w:tcPr>
            <w:tcW w:w="4262" w:type="dxa"/>
            <w:gridSpan w:val="4"/>
            <w:vAlign w:val="center"/>
          </w:tcPr>
          <w:p>
            <w:pPr>
              <w:jc w:val="center"/>
              <w:rPr>
                <w:color w:val="000000" w:themeColor="text1"/>
                <w:spacing w:val="60"/>
              </w:rPr>
            </w:pPr>
            <w:r>
              <w:rPr>
                <w:rFonts w:hint="eastAsia"/>
                <w:color w:val="000000" w:themeColor="text1"/>
                <w:spacing w:val="60"/>
              </w:rPr>
              <w:t>从事工作年限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1786" w:type="dxa"/>
            <w:gridSpan w:val="3"/>
            <w:vAlign w:val="center"/>
          </w:tcPr>
          <w:p>
            <w:pPr>
              <w:jc w:val="center"/>
              <w:rPr>
                <w:color w:val="000000" w:themeColor="text1"/>
              </w:rPr>
            </w:pPr>
          </w:p>
        </w:tc>
        <w:tc>
          <w:tcPr>
            <w:tcW w:w="4262" w:type="dxa"/>
            <w:gridSpan w:val="4"/>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1786" w:type="dxa"/>
            <w:gridSpan w:val="3"/>
            <w:vAlign w:val="center"/>
          </w:tcPr>
          <w:p>
            <w:pPr>
              <w:jc w:val="center"/>
              <w:rPr>
                <w:color w:val="000000" w:themeColor="text1"/>
              </w:rPr>
            </w:pPr>
          </w:p>
        </w:tc>
        <w:tc>
          <w:tcPr>
            <w:tcW w:w="4262" w:type="dxa"/>
            <w:gridSpan w:val="4"/>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1786" w:type="dxa"/>
            <w:gridSpan w:val="3"/>
            <w:vAlign w:val="center"/>
          </w:tcPr>
          <w:p>
            <w:pPr>
              <w:jc w:val="center"/>
              <w:rPr>
                <w:color w:val="000000" w:themeColor="text1"/>
              </w:rPr>
            </w:pPr>
          </w:p>
        </w:tc>
        <w:tc>
          <w:tcPr>
            <w:tcW w:w="4262" w:type="dxa"/>
            <w:gridSpan w:val="4"/>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888" w:type="dxa"/>
            <w:gridSpan w:val="13"/>
            <w:vAlign w:val="center"/>
          </w:tcPr>
          <w:p>
            <w:pPr>
              <w:rPr>
                <w:color w:val="000000" w:themeColor="text1"/>
                <w:spacing w:val="56"/>
              </w:rPr>
            </w:pPr>
            <w:r>
              <w:rPr>
                <w:rFonts w:hint="eastAsia"/>
                <w:color w:val="000000" w:themeColor="text1"/>
                <w:spacing w:val="56"/>
              </w:rPr>
              <w:t>计划用于本项目的主要技术人员情况: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20" w:type="dxa"/>
            <w:gridSpan w:val="3"/>
            <w:vAlign w:val="center"/>
          </w:tcPr>
          <w:p>
            <w:pPr>
              <w:jc w:val="center"/>
              <w:rPr>
                <w:color w:val="000000" w:themeColor="text1"/>
              </w:rPr>
            </w:pPr>
            <w:r>
              <w:rPr>
                <w:rFonts w:hint="eastAsia"/>
                <w:color w:val="000000" w:themeColor="text1"/>
              </w:rPr>
              <w:t>姓名</w:t>
            </w:r>
          </w:p>
        </w:tc>
        <w:tc>
          <w:tcPr>
            <w:tcW w:w="1420" w:type="dxa"/>
            <w:gridSpan w:val="3"/>
            <w:vAlign w:val="center"/>
          </w:tcPr>
          <w:p>
            <w:pPr>
              <w:jc w:val="center"/>
              <w:rPr>
                <w:color w:val="000000" w:themeColor="text1"/>
              </w:rPr>
            </w:pPr>
            <w:r>
              <w:rPr>
                <w:rFonts w:hint="eastAsia"/>
                <w:color w:val="000000" w:themeColor="text1"/>
              </w:rPr>
              <w:t>建议职务</w:t>
            </w:r>
          </w:p>
        </w:tc>
        <w:tc>
          <w:tcPr>
            <w:tcW w:w="2634" w:type="dxa"/>
            <w:gridSpan w:val="4"/>
            <w:vAlign w:val="center"/>
          </w:tcPr>
          <w:p>
            <w:pPr>
              <w:jc w:val="center"/>
              <w:rPr>
                <w:color w:val="000000" w:themeColor="text1"/>
              </w:rPr>
            </w:pPr>
            <w:r>
              <w:rPr>
                <w:rFonts w:hint="eastAsia"/>
                <w:color w:val="000000" w:themeColor="text1"/>
              </w:rPr>
              <w:t>从事工作年限</w:t>
            </w:r>
          </w:p>
        </w:tc>
        <w:tc>
          <w:tcPr>
            <w:tcW w:w="3414" w:type="dxa"/>
            <w:gridSpan w:val="3"/>
            <w:vAlign w:val="center"/>
          </w:tcPr>
          <w:p>
            <w:pPr>
              <w:jc w:val="center"/>
              <w:rPr>
                <w:color w:val="000000" w:themeColor="text1"/>
              </w:rPr>
            </w:pPr>
            <w:r>
              <w:rPr>
                <w:rFonts w:hint="eastAsia"/>
                <w:color w:val="000000" w:themeColor="text1"/>
              </w:rPr>
              <w:t>资格经历(主要工程规模、容量及个人工作范围)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20" w:type="dxa"/>
            <w:gridSpan w:val="3"/>
            <w:vAlign w:val="center"/>
          </w:tcPr>
          <w:p>
            <w:pPr>
              <w:jc w:val="center"/>
              <w:rPr>
                <w:color w:val="000000" w:themeColor="text1"/>
              </w:rPr>
            </w:pPr>
          </w:p>
        </w:tc>
        <w:tc>
          <w:tcPr>
            <w:tcW w:w="1420" w:type="dxa"/>
            <w:gridSpan w:val="3"/>
            <w:vAlign w:val="center"/>
          </w:tcPr>
          <w:p>
            <w:pPr>
              <w:jc w:val="center"/>
              <w:rPr>
                <w:color w:val="000000" w:themeColor="text1"/>
              </w:rPr>
            </w:pPr>
          </w:p>
        </w:tc>
        <w:tc>
          <w:tcPr>
            <w:tcW w:w="2634" w:type="dxa"/>
            <w:gridSpan w:val="4"/>
            <w:vAlign w:val="center"/>
          </w:tcPr>
          <w:p>
            <w:pPr>
              <w:jc w:val="center"/>
              <w:rPr>
                <w:color w:val="000000" w:themeColor="text1"/>
              </w:rPr>
            </w:pPr>
          </w:p>
        </w:tc>
        <w:tc>
          <w:tcPr>
            <w:tcW w:w="3414" w:type="dxa"/>
            <w:gridSpan w:val="3"/>
            <w:vAlign w:val="center"/>
          </w:tcPr>
          <w:p>
            <w:pPr>
              <w:jc w:val="center"/>
              <w:rPr>
                <w:color w:val="000000" w:themeColor="text1"/>
              </w:rPr>
            </w:pPr>
          </w:p>
        </w:tc>
      </w:tr>
    </w:tbl>
    <w:p>
      <w:pPr>
        <w:autoSpaceDE w:val="0"/>
        <w:autoSpaceDN w:val="0"/>
        <w:adjustRightInd w:val="0"/>
        <w:rPr>
          <w:rFonts w:ascii="宋体"/>
          <w:color w:val="000000" w:themeColor="text1"/>
          <w:kern w:val="0"/>
          <w:sz w:val="20"/>
        </w:rPr>
      </w:pPr>
    </w:p>
    <w:p>
      <w:pPr>
        <w:rPr>
          <w:rFonts w:ascii="宋体"/>
          <w:color w:val="000000" w:themeColor="text1"/>
          <w:kern w:val="0"/>
          <w:sz w:val="28"/>
        </w:rPr>
      </w:pPr>
      <w:r>
        <w:rPr>
          <w:rFonts w:hint="eastAsia" w:ascii="宋体"/>
          <w:color w:val="000000" w:themeColor="text1"/>
          <w:kern w:val="0"/>
          <w:sz w:val="28"/>
        </w:rPr>
        <w:t>注：</w:t>
      </w:r>
      <w:r>
        <w:rPr>
          <w:rFonts w:ascii="宋体"/>
          <w:color w:val="000000" w:themeColor="text1"/>
          <w:kern w:val="0"/>
          <w:sz w:val="28"/>
        </w:rPr>
        <w:t>1.</w:t>
      </w:r>
      <w:r>
        <w:rPr>
          <w:rFonts w:hint="eastAsia" w:ascii="宋体"/>
          <w:color w:val="000000" w:themeColor="text1"/>
          <w:kern w:val="0"/>
          <w:sz w:val="28"/>
        </w:rPr>
        <w:t>包括项目负责人及其它主要成员</w:t>
      </w:r>
    </w:p>
    <w:p>
      <w:pPr>
        <w:ind w:firstLine="560"/>
        <w:rPr>
          <w:rFonts w:ascii="宋体"/>
          <w:color w:val="000000" w:themeColor="text1"/>
          <w:kern w:val="0"/>
          <w:sz w:val="28"/>
        </w:rPr>
      </w:pPr>
      <w:r>
        <w:rPr>
          <w:rFonts w:ascii="宋体"/>
          <w:color w:val="000000" w:themeColor="text1"/>
          <w:kern w:val="0"/>
          <w:sz w:val="28"/>
        </w:rPr>
        <w:t>2.</w:t>
      </w:r>
      <w:r>
        <w:rPr>
          <w:rFonts w:hint="eastAsia" w:ascii="宋体"/>
          <w:color w:val="000000" w:themeColor="text1"/>
          <w:kern w:val="0"/>
          <w:sz w:val="28"/>
        </w:rPr>
        <w:t>栏目不足可续表</w:t>
      </w:r>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ind w:firstLine="560"/>
        <w:rPr>
          <w:rFonts w:ascii="宋体" w:hAnsi="宋体"/>
          <w:b/>
          <w:bCs/>
          <w:color w:val="000000" w:themeColor="text1"/>
          <w:sz w:val="32"/>
        </w:rPr>
      </w:pPr>
    </w:p>
    <w:p>
      <w:pPr>
        <w:jc w:val="center"/>
        <w:rPr>
          <w:rFonts w:ascii="宋体" w:hAnsi="宋体"/>
          <w:b/>
          <w:bCs/>
          <w:color w:val="000000" w:themeColor="text1"/>
          <w:sz w:val="32"/>
        </w:rPr>
      </w:pPr>
    </w:p>
    <w:p>
      <w:pPr>
        <w:jc w:val="center"/>
        <w:rPr>
          <w:rFonts w:ascii="宋体" w:hAnsi="宋体"/>
          <w:b/>
          <w:bCs/>
          <w:color w:val="000000" w:themeColor="text1"/>
          <w:sz w:val="32"/>
        </w:rPr>
        <w:sectPr>
          <w:pgSz w:w="11907" w:h="16840"/>
          <w:pgMar w:top="1440" w:right="1247" w:bottom="1440" w:left="1247" w:header="851" w:footer="992" w:gutter="0"/>
          <w:cols w:space="425" w:num="1"/>
          <w:docGrid w:linePitch="312" w:charSpace="0"/>
        </w:sectPr>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38" w:name="_Toc434831211"/>
      <w:bookmarkStart w:id="139" w:name="_Toc414384935"/>
      <w:bookmarkStart w:id="140" w:name="_Toc42206715"/>
      <w:bookmarkStart w:id="141" w:name="_Toc193186933"/>
      <w:r>
        <w:rPr>
          <w:rFonts w:hint="eastAsia" w:ascii="黑体" w:hAnsi="黑体"/>
          <w:bCs w:val="0"/>
          <w:color w:val="000000" w:themeColor="text1"/>
          <w:sz w:val="36"/>
          <w:szCs w:val="36"/>
        </w:rPr>
        <w:t>表四</w:t>
      </w:r>
      <w:r>
        <w:rPr>
          <w:rFonts w:ascii="黑体" w:hAnsi="黑体"/>
          <w:bCs w:val="0"/>
          <w:color w:val="000000" w:themeColor="text1"/>
          <w:sz w:val="36"/>
          <w:szCs w:val="36"/>
        </w:rPr>
        <w:t xml:space="preserve">-1 </w:t>
      </w:r>
      <w:r>
        <w:rPr>
          <w:rFonts w:hint="eastAsia" w:ascii="黑体" w:hAnsi="黑体"/>
          <w:bCs w:val="0"/>
          <w:color w:val="000000" w:themeColor="text1"/>
          <w:sz w:val="36"/>
          <w:szCs w:val="36"/>
        </w:rPr>
        <w:t>项目负责人简历表</w:t>
      </w:r>
      <w:bookmarkEnd w:id="138"/>
      <w:bookmarkEnd w:id="139"/>
      <w:bookmarkEnd w:id="140"/>
      <w:bookmarkEnd w:id="141"/>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58"/>
        <w:gridCol w:w="629"/>
        <w:gridCol w:w="1057"/>
        <w:gridCol w:w="713"/>
        <w:gridCol w:w="170"/>
        <w:gridCol w:w="977"/>
        <w:gridCol w:w="978"/>
        <w:gridCol w:w="512"/>
        <w:gridCol w:w="386"/>
        <w:gridCol w:w="60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0" w:type="dxa"/>
            <w:vAlign w:val="center"/>
          </w:tcPr>
          <w:p>
            <w:pPr>
              <w:jc w:val="center"/>
              <w:rPr>
                <w:rFonts w:ascii="宋体" w:hAnsi="宋体"/>
                <w:color w:val="000000" w:themeColor="text1"/>
                <w:sz w:val="24"/>
              </w:rPr>
            </w:pPr>
            <w:r>
              <w:rPr>
                <w:rFonts w:hint="eastAsia" w:ascii="宋体" w:hAnsi="宋体"/>
                <w:color w:val="000000" w:themeColor="text1"/>
                <w:sz w:val="24"/>
              </w:rPr>
              <w:t>姓名</w:t>
            </w:r>
          </w:p>
        </w:tc>
        <w:tc>
          <w:tcPr>
            <w:tcW w:w="2044" w:type="dxa"/>
            <w:gridSpan w:val="3"/>
            <w:vAlign w:val="center"/>
          </w:tcPr>
          <w:p>
            <w:pPr>
              <w:jc w:val="center"/>
              <w:rPr>
                <w:rFonts w:ascii="宋体" w:hAnsi="宋体"/>
                <w:color w:val="000000" w:themeColor="text1"/>
                <w:sz w:val="24"/>
              </w:rPr>
            </w:pPr>
          </w:p>
        </w:tc>
        <w:tc>
          <w:tcPr>
            <w:tcW w:w="883" w:type="dxa"/>
            <w:gridSpan w:val="2"/>
            <w:vAlign w:val="center"/>
          </w:tcPr>
          <w:p>
            <w:pPr>
              <w:jc w:val="center"/>
              <w:rPr>
                <w:rFonts w:ascii="宋体" w:hAnsi="宋体"/>
                <w:color w:val="000000" w:themeColor="text1"/>
                <w:sz w:val="24"/>
              </w:rPr>
            </w:pPr>
            <w:r>
              <w:rPr>
                <w:rFonts w:hint="eastAsia" w:ascii="宋体" w:hAnsi="宋体"/>
                <w:color w:val="000000" w:themeColor="text1"/>
                <w:sz w:val="24"/>
              </w:rPr>
              <w:t>性别</w:t>
            </w:r>
          </w:p>
        </w:tc>
        <w:tc>
          <w:tcPr>
            <w:tcW w:w="1955" w:type="dxa"/>
            <w:gridSpan w:val="2"/>
            <w:vAlign w:val="center"/>
          </w:tcPr>
          <w:p>
            <w:pPr>
              <w:jc w:val="center"/>
              <w:rPr>
                <w:rFonts w:ascii="宋体" w:hAnsi="宋体"/>
                <w:color w:val="000000" w:themeColor="text1"/>
                <w:sz w:val="24"/>
              </w:rPr>
            </w:pPr>
          </w:p>
        </w:tc>
        <w:tc>
          <w:tcPr>
            <w:tcW w:w="898" w:type="dxa"/>
            <w:gridSpan w:val="2"/>
            <w:vAlign w:val="center"/>
          </w:tcPr>
          <w:p>
            <w:pPr>
              <w:jc w:val="center"/>
              <w:rPr>
                <w:rFonts w:ascii="宋体" w:hAnsi="宋体"/>
                <w:color w:val="000000" w:themeColor="text1"/>
                <w:sz w:val="24"/>
              </w:rPr>
            </w:pPr>
            <w:r>
              <w:rPr>
                <w:rFonts w:hint="eastAsia" w:ascii="宋体" w:hAnsi="宋体"/>
                <w:color w:val="000000" w:themeColor="text1"/>
                <w:sz w:val="24"/>
              </w:rPr>
              <w:t>年龄</w:t>
            </w:r>
          </w:p>
        </w:tc>
        <w:tc>
          <w:tcPr>
            <w:tcW w:w="2126" w:type="dxa"/>
            <w:gridSpan w:val="2"/>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0" w:type="dxa"/>
            <w:vAlign w:val="center"/>
          </w:tcPr>
          <w:p>
            <w:pPr>
              <w:jc w:val="center"/>
              <w:rPr>
                <w:rFonts w:ascii="宋体" w:hAnsi="宋体"/>
                <w:color w:val="000000" w:themeColor="text1"/>
                <w:sz w:val="24"/>
              </w:rPr>
            </w:pPr>
            <w:r>
              <w:rPr>
                <w:rFonts w:hint="eastAsia" w:ascii="宋体" w:hAnsi="宋体"/>
                <w:color w:val="000000" w:themeColor="text1"/>
                <w:sz w:val="24"/>
              </w:rPr>
              <w:t>职务</w:t>
            </w:r>
          </w:p>
        </w:tc>
        <w:tc>
          <w:tcPr>
            <w:tcW w:w="2044" w:type="dxa"/>
            <w:gridSpan w:val="3"/>
            <w:vAlign w:val="center"/>
          </w:tcPr>
          <w:p>
            <w:pPr>
              <w:jc w:val="center"/>
              <w:rPr>
                <w:rFonts w:ascii="宋体" w:hAnsi="宋体"/>
                <w:color w:val="000000" w:themeColor="text1"/>
                <w:sz w:val="24"/>
              </w:rPr>
            </w:pPr>
          </w:p>
        </w:tc>
        <w:tc>
          <w:tcPr>
            <w:tcW w:w="883" w:type="dxa"/>
            <w:gridSpan w:val="2"/>
            <w:vAlign w:val="center"/>
          </w:tcPr>
          <w:p>
            <w:pPr>
              <w:jc w:val="center"/>
              <w:rPr>
                <w:rFonts w:ascii="宋体" w:hAnsi="宋体"/>
                <w:color w:val="000000" w:themeColor="text1"/>
                <w:sz w:val="24"/>
              </w:rPr>
            </w:pPr>
            <w:r>
              <w:rPr>
                <w:rFonts w:hint="eastAsia" w:ascii="宋体" w:hAnsi="宋体"/>
                <w:color w:val="000000" w:themeColor="text1"/>
                <w:sz w:val="24"/>
              </w:rPr>
              <w:t>职称</w:t>
            </w:r>
          </w:p>
        </w:tc>
        <w:tc>
          <w:tcPr>
            <w:tcW w:w="1955" w:type="dxa"/>
            <w:gridSpan w:val="2"/>
            <w:vAlign w:val="center"/>
          </w:tcPr>
          <w:p>
            <w:pPr>
              <w:jc w:val="center"/>
              <w:rPr>
                <w:rFonts w:ascii="宋体" w:hAnsi="宋体"/>
                <w:color w:val="000000" w:themeColor="text1"/>
                <w:sz w:val="24"/>
              </w:rPr>
            </w:pPr>
          </w:p>
        </w:tc>
        <w:tc>
          <w:tcPr>
            <w:tcW w:w="898" w:type="dxa"/>
            <w:gridSpan w:val="2"/>
            <w:vAlign w:val="center"/>
          </w:tcPr>
          <w:p>
            <w:pPr>
              <w:jc w:val="center"/>
              <w:rPr>
                <w:rFonts w:ascii="宋体" w:hAnsi="宋体"/>
                <w:color w:val="000000" w:themeColor="text1"/>
                <w:sz w:val="24"/>
              </w:rPr>
            </w:pPr>
            <w:r>
              <w:rPr>
                <w:rFonts w:hint="eastAsia" w:ascii="宋体" w:hAnsi="宋体"/>
                <w:color w:val="000000" w:themeColor="text1"/>
                <w:sz w:val="24"/>
              </w:rPr>
              <w:t>学历</w:t>
            </w:r>
          </w:p>
        </w:tc>
        <w:tc>
          <w:tcPr>
            <w:tcW w:w="2126" w:type="dxa"/>
            <w:gridSpan w:val="2"/>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67" w:type="dxa"/>
            <w:gridSpan w:val="3"/>
            <w:vAlign w:val="center"/>
          </w:tcPr>
          <w:p>
            <w:pPr>
              <w:jc w:val="center"/>
              <w:rPr>
                <w:rFonts w:ascii="宋体" w:hAnsi="宋体"/>
                <w:color w:val="000000" w:themeColor="text1"/>
                <w:sz w:val="24"/>
              </w:rPr>
            </w:pPr>
            <w:r>
              <w:rPr>
                <w:rFonts w:hint="eastAsia" w:ascii="宋体" w:hAnsi="宋体"/>
                <w:color w:val="000000" w:themeColor="text1"/>
                <w:sz w:val="24"/>
              </w:rPr>
              <w:t>参加工作时间</w:t>
            </w:r>
          </w:p>
        </w:tc>
        <w:tc>
          <w:tcPr>
            <w:tcW w:w="1940" w:type="dxa"/>
            <w:gridSpan w:val="3"/>
            <w:vAlign w:val="center"/>
          </w:tcPr>
          <w:p>
            <w:pPr>
              <w:jc w:val="center"/>
              <w:rPr>
                <w:rFonts w:ascii="宋体" w:hAnsi="宋体"/>
                <w:color w:val="000000" w:themeColor="text1"/>
                <w:sz w:val="24"/>
              </w:rPr>
            </w:pPr>
          </w:p>
        </w:tc>
        <w:tc>
          <w:tcPr>
            <w:tcW w:w="2853" w:type="dxa"/>
            <w:gridSpan w:val="4"/>
            <w:vAlign w:val="center"/>
          </w:tcPr>
          <w:p>
            <w:pPr>
              <w:jc w:val="center"/>
              <w:rPr>
                <w:rFonts w:ascii="宋体" w:hAnsi="宋体"/>
                <w:color w:val="000000" w:themeColor="text1"/>
                <w:sz w:val="24"/>
              </w:rPr>
            </w:pPr>
            <w:r>
              <w:rPr>
                <w:rFonts w:hint="eastAsia" w:ascii="宋体" w:hAnsi="宋体"/>
                <w:color w:val="000000" w:themeColor="text1"/>
                <w:sz w:val="24"/>
              </w:rPr>
              <w:t>从事相关工作年限</w:t>
            </w:r>
          </w:p>
        </w:tc>
        <w:tc>
          <w:tcPr>
            <w:tcW w:w="2126" w:type="dxa"/>
            <w:gridSpan w:val="2"/>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86" w:type="dxa"/>
            <w:gridSpan w:val="12"/>
            <w:vAlign w:val="center"/>
          </w:tcPr>
          <w:p>
            <w:pPr>
              <w:jc w:val="center"/>
              <w:rPr>
                <w:rFonts w:ascii="宋体" w:hAnsi="宋体"/>
                <w:color w:val="000000" w:themeColor="text1"/>
                <w:sz w:val="24"/>
              </w:rPr>
            </w:pPr>
            <w:r>
              <w:rPr>
                <w:rFonts w:hint="eastAsia" w:ascii="宋体" w:hAnsi="宋体"/>
                <w:color w:val="000000" w:themeColor="text1"/>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r>
              <w:rPr>
                <w:rFonts w:hint="eastAsia" w:ascii="宋体" w:hAnsi="宋体"/>
                <w:color w:val="000000" w:themeColor="text1"/>
                <w:sz w:val="24"/>
              </w:rPr>
              <w:t>建设单位</w:t>
            </w:r>
          </w:p>
        </w:tc>
        <w:tc>
          <w:tcPr>
            <w:tcW w:w="2399" w:type="dxa"/>
            <w:gridSpan w:val="3"/>
            <w:vAlign w:val="center"/>
          </w:tcPr>
          <w:p>
            <w:pPr>
              <w:jc w:val="center"/>
              <w:rPr>
                <w:rFonts w:ascii="宋体" w:hAnsi="宋体"/>
                <w:color w:val="000000" w:themeColor="text1"/>
                <w:sz w:val="24"/>
              </w:rPr>
            </w:pPr>
            <w:r>
              <w:rPr>
                <w:rFonts w:hint="eastAsia" w:ascii="宋体" w:hAnsi="宋体"/>
                <w:color w:val="000000" w:themeColor="text1"/>
                <w:sz w:val="24"/>
              </w:rPr>
              <w:t>项目名称</w:t>
            </w:r>
          </w:p>
        </w:tc>
        <w:tc>
          <w:tcPr>
            <w:tcW w:w="1147" w:type="dxa"/>
            <w:gridSpan w:val="2"/>
            <w:vAlign w:val="center"/>
          </w:tcPr>
          <w:p>
            <w:pPr>
              <w:jc w:val="center"/>
              <w:rPr>
                <w:rFonts w:ascii="宋体" w:hAnsi="宋体"/>
                <w:color w:val="000000" w:themeColor="text1"/>
                <w:sz w:val="24"/>
              </w:rPr>
            </w:pPr>
            <w:r>
              <w:rPr>
                <w:rFonts w:hint="eastAsia" w:ascii="宋体" w:hAnsi="宋体"/>
                <w:color w:val="000000" w:themeColor="text1"/>
                <w:sz w:val="24"/>
              </w:rPr>
              <w:t>建设规模</w:t>
            </w:r>
          </w:p>
        </w:tc>
        <w:tc>
          <w:tcPr>
            <w:tcW w:w="1490" w:type="dxa"/>
            <w:gridSpan w:val="2"/>
            <w:vAlign w:val="center"/>
          </w:tcPr>
          <w:p>
            <w:pPr>
              <w:jc w:val="center"/>
              <w:rPr>
                <w:rFonts w:ascii="宋体" w:hAnsi="宋体"/>
                <w:color w:val="000000" w:themeColor="text1"/>
                <w:sz w:val="24"/>
              </w:rPr>
            </w:pPr>
            <w:r>
              <w:rPr>
                <w:rFonts w:hint="eastAsia" w:ascii="宋体" w:hAnsi="宋体"/>
                <w:color w:val="000000" w:themeColor="text1"/>
                <w:sz w:val="24"/>
              </w:rPr>
              <w:t>开、竣工日期</w:t>
            </w:r>
          </w:p>
        </w:tc>
        <w:tc>
          <w:tcPr>
            <w:tcW w:w="992" w:type="dxa"/>
            <w:gridSpan w:val="2"/>
            <w:vAlign w:val="center"/>
          </w:tcPr>
          <w:p>
            <w:pPr>
              <w:jc w:val="center"/>
              <w:rPr>
                <w:rFonts w:ascii="宋体" w:hAnsi="宋体"/>
                <w:color w:val="000000" w:themeColor="text1"/>
                <w:sz w:val="24"/>
              </w:rPr>
            </w:pPr>
            <w:r>
              <w:rPr>
                <w:rFonts w:hint="eastAsia" w:ascii="宋体" w:hAnsi="宋体"/>
                <w:color w:val="000000" w:themeColor="text1"/>
                <w:sz w:val="24"/>
              </w:rPr>
              <w:t>在建或已完</w:t>
            </w:r>
          </w:p>
        </w:tc>
        <w:tc>
          <w:tcPr>
            <w:tcW w:w="1520" w:type="dxa"/>
            <w:vAlign w:val="center"/>
          </w:tcPr>
          <w:p>
            <w:pPr>
              <w:jc w:val="center"/>
              <w:rPr>
                <w:rFonts w:ascii="宋体" w:hAnsi="宋体"/>
                <w:color w:val="000000" w:themeColor="text1"/>
                <w:sz w:val="24"/>
              </w:rPr>
            </w:pPr>
            <w:r>
              <w:rPr>
                <w:rFonts w:hint="eastAsia" w:ascii="宋体" w:hAnsi="宋体"/>
                <w:color w:val="000000" w:themeColor="text1"/>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8" w:type="dxa"/>
            <w:gridSpan w:val="2"/>
            <w:vAlign w:val="center"/>
          </w:tcPr>
          <w:p>
            <w:pPr>
              <w:jc w:val="center"/>
              <w:rPr>
                <w:rFonts w:ascii="宋体" w:hAnsi="宋体"/>
                <w:color w:val="000000" w:themeColor="text1"/>
                <w:sz w:val="24"/>
              </w:rPr>
            </w:pPr>
          </w:p>
        </w:tc>
        <w:tc>
          <w:tcPr>
            <w:tcW w:w="2399" w:type="dxa"/>
            <w:gridSpan w:val="3"/>
            <w:vAlign w:val="center"/>
          </w:tcPr>
          <w:p>
            <w:pPr>
              <w:jc w:val="center"/>
              <w:rPr>
                <w:rFonts w:ascii="宋体" w:hAnsi="宋体"/>
                <w:color w:val="000000" w:themeColor="text1"/>
                <w:sz w:val="24"/>
              </w:rPr>
            </w:pPr>
          </w:p>
        </w:tc>
        <w:tc>
          <w:tcPr>
            <w:tcW w:w="1147" w:type="dxa"/>
            <w:gridSpan w:val="2"/>
            <w:vAlign w:val="center"/>
          </w:tcPr>
          <w:p>
            <w:pPr>
              <w:jc w:val="center"/>
              <w:rPr>
                <w:rFonts w:ascii="宋体" w:hAnsi="宋体"/>
                <w:color w:val="000000" w:themeColor="text1"/>
                <w:sz w:val="24"/>
              </w:rPr>
            </w:pPr>
          </w:p>
        </w:tc>
        <w:tc>
          <w:tcPr>
            <w:tcW w:w="1490" w:type="dxa"/>
            <w:gridSpan w:val="2"/>
            <w:vAlign w:val="center"/>
          </w:tcPr>
          <w:p>
            <w:pPr>
              <w:jc w:val="center"/>
              <w:rPr>
                <w:rFonts w:ascii="宋体" w:hAnsi="宋体"/>
                <w:color w:val="000000" w:themeColor="text1"/>
                <w:sz w:val="24"/>
              </w:rPr>
            </w:pPr>
          </w:p>
        </w:tc>
        <w:tc>
          <w:tcPr>
            <w:tcW w:w="992" w:type="dxa"/>
            <w:gridSpan w:val="2"/>
            <w:vAlign w:val="center"/>
          </w:tcPr>
          <w:p>
            <w:pPr>
              <w:jc w:val="center"/>
              <w:rPr>
                <w:rFonts w:ascii="宋体" w:hAnsi="宋体"/>
                <w:color w:val="000000" w:themeColor="text1"/>
                <w:sz w:val="24"/>
              </w:rPr>
            </w:pPr>
          </w:p>
        </w:tc>
        <w:tc>
          <w:tcPr>
            <w:tcW w:w="1520" w:type="dxa"/>
            <w:vAlign w:val="center"/>
          </w:tcPr>
          <w:p>
            <w:pPr>
              <w:jc w:val="center"/>
              <w:rPr>
                <w:rFonts w:ascii="宋体" w:hAnsi="宋体"/>
                <w:color w:val="000000" w:themeColor="text1"/>
                <w:sz w:val="24"/>
              </w:rPr>
            </w:pPr>
          </w:p>
        </w:tc>
      </w:tr>
    </w:tbl>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pStyle w:val="4"/>
        <w:adjustRightInd w:val="0"/>
        <w:snapToGrid w:val="0"/>
        <w:spacing w:before="0" w:after="100" w:afterAutospacing="1" w:line="240" w:lineRule="auto"/>
        <w:jc w:val="left"/>
        <w:rPr>
          <w:rFonts w:ascii="黑体" w:hAnsi="黑体"/>
          <w:bCs w:val="0"/>
          <w:color w:val="000000" w:themeColor="text1"/>
          <w:sz w:val="36"/>
          <w:szCs w:val="36"/>
        </w:rPr>
      </w:pPr>
      <w:r>
        <w:rPr>
          <w:rFonts w:ascii="宋体" w:hAnsi="宋体"/>
          <w:b w:val="0"/>
          <w:bCs w:val="0"/>
          <w:color w:val="000000" w:themeColor="text1"/>
        </w:rPr>
        <w:br w:type="page"/>
      </w:r>
      <w:bookmarkStart w:id="142" w:name="_Toc414384936"/>
      <w:bookmarkStart w:id="143" w:name="_Toc42206716"/>
      <w:bookmarkStart w:id="144" w:name="_Toc434831212"/>
      <w:bookmarkStart w:id="145" w:name="_Toc193186934"/>
      <w:r>
        <w:rPr>
          <w:rFonts w:hint="eastAsia" w:ascii="黑体" w:hAnsi="黑体"/>
          <w:bCs w:val="0"/>
          <w:color w:val="000000" w:themeColor="text1"/>
          <w:sz w:val="36"/>
          <w:szCs w:val="36"/>
        </w:rPr>
        <w:t>表四</w:t>
      </w:r>
      <w:r>
        <w:rPr>
          <w:rFonts w:ascii="黑体" w:hAnsi="黑体"/>
          <w:bCs w:val="0"/>
          <w:color w:val="000000" w:themeColor="text1"/>
          <w:sz w:val="36"/>
          <w:szCs w:val="36"/>
        </w:rPr>
        <w:t xml:space="preserve">-2 </w:t>
      </w:r>
      <w:r>
        <w:rPr>
          <w:rFonts w:hint="eastAsia" w:ascii="黑体" w:hAnsi="黑体"/>
          <w:bCs w:val="0"/>
          <w:color w:val="000000" w:themeColor="text1"/>
          <w:sz w:val="36"/>
          <w:szCs w:val="36"/>
        </w:rPr>
        <w:t>项目技术负责人简历表</w:t>
      </w:r>
      <w:bookmarkEnd w:id="142"/>
      <w:bookmarkEnd w:id="143"/>
      <w:bookmarkEnd w:id="144"/>
      <w:bookmarkEnd w:id="145"/>
    </w:p>
    <w:tbl>
      <w:tblPr>
        <w:tblStyle w:val="41"/>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58"/>
        <w:gridCol w:w="629"/>
        <w:gridCol w:w="891"/>
        <w:gridCol w:w="1049"/>
        <w:gridCol w:w="211"/>
        <w:gridCol w:w="1620"/>
        <w:gridCol w:w="1022"/>
        <w:gridCol w:w="41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87" w:type="dxa"/>
            <w:vAlign w:val="center"/>
          </w:tcPr>
          <w:p>
            <w:pPr>
              <w:jc w:val="center"/>
              <w:rPr>
                <w:rFonts w:ascii="宋体" w:hAnsi="宋体"/>
                <w:color w:val="000000" w:themeColor="text1"/>
                <w:sz w:val="24"/>
              </w:rPr>
            </w:pPr>
            <w:r>
              <w:rPr>
                <w:rFonts w:hint="eastAsia" w:ascii="宋体" w:hAnsi="宋体"/>
                <w:color w:val="000000" w:themeColor="text1"/>
                <w:sz w:val="24"/>
              </w:rPr>
              <w:t>姓名</w:t>
            </w:r>
          </w:p>
        </w:tc>
        <w:tc>
          <w:tcPr>
            <w:tcW w:w="1878" w:type="dxa"/>
            <w:gridSpan w:val="3"/>
            <w:vAlign w:val="center"/>
          </w:tcPr>
          <w:p>
            <w:pPr>
              <w:jc w:val="center"/>
              <w:rPr>
                <w:rFonts w:ascii="宋体" w:hAnsi="宋体"/>
                <w:color w:val="000000" w:themeColor="text1"/>
                <w:sz w:val="24"/>
              </w:rPr>
            </w:pPr>
          </w:p>
        </w:tc>
        <w:tc>
          <w:tcPr>
            <w:tcW w:w="1049" w:type="dxa"/>
            <w:vAlign w:val="center"/>
          </w:tcPr>
          <w:p>
            <w:pPr>
              <w:jc w:val="center"/>
              <w:rPr>
                <w:rFonts w:ascii="宋体" w:hAnsi="宋体"/>
                <w:color w:val="000000" w:themeColor="text1"/>
                <w:sz w:val="24"/>
              </w:rPr>
            </w:pPr>
            <w:r>
              <w:rPr>
                <w:rFonts w:hint="eastAsia" w:ascii="宋体" w:hAnsi="宋体"/>
                <w:color w:val="000000" w:themeColor="text1"/>
                <w:sz w:val="24"/>
              </w:rPr>
              <w:t>性别</w:t>
            </w:r>
          </w:p>
        </w:tc>
        <w:tc>
          <w:tcPr>
            <w:tcW w:w="1831" w:type="dxa"/>
            <w:gridSpan w:val="2"/>
            <w:vAlign w:val="center"/>
          </w:tcPr>
          <w:p>
            <w:pPr>
              <w:jc w:val="center"/>
              <w:rPr>
                <w:rFonts w:ascii="宋体" w:hAnsi="宋体"/>
                <w:color w:val="000000" w:themeColor="text1"/>
                <w:sz w:val="24"/>
              </w:rPr>
            </w:pPr>
          </w:p>
        </w:tc>
        <w:tc>
          <w:tcPr>
            <w:tcW w:w="1022" w:type="dxa"/>
            <w:vAlign w:val="center"/>
          </w:tcPr>
          <w:p>
            <w:pPr>
              <w:jc w:val="center"/>
              <w:rPr>
                <w:rFonts w:ascii="宋体" w:hAnsi="宋体"/>
                <w:color w:val="000000" w:themeColor="text1"/>
                <w:sz w:val="24"/>
              </w:rPr>
            </w:pPr>
            <w:r>
              <w:rPr>
                <w:rFonts w:hint="eastAsia" w:ascii="宋体" w:hAnsi="宋体"/>
                <w:color w:val="000000" w:themeColor="text1"/>
                <w:sz w:val="24"/>
              </w:rPr>
              <w:t>年龄</w:t>
            </w:r>
          </w:p>
        </w:tc>
        <w:tc>
          <w:tcPr>
            <w:tcW w:w="1969" w:type="dxa"/>
            <w:gridSpan w:val="2"/>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87" w:type="dxa"/>
            <w:vAlign w:val="center"/>
          </w:tcPr>
          <w:p>
            <w:pPr>
              <w:jc w:val="center"/>
              <w:rPr>
                <w:rFonts w:ascii="宋体" w:hAnsi="宋体"/>
                <w:color w:val="000000" w:themeColor="text1"/>
                <w:sz w:val="24"/>
              </w:rPr>
            </w:pPr>
            <w:r>
              <w:rPr>
                <w:rFonts w:hint="eastAsia" w:ascii="宋体" w:hAnsi="宋体"/>
                <w:color w:val="000000" w:themeColor="text1"/>
                <w:sz w:val="24"/>
              </w:rPr>
              <w:t>职务</w:t>
            </w:r>
          </w:p>
        </w:tc>
        <w:tc>
          <w:tcPr>
            <w:tcW w:w="1878" w:type="dxa"/>
            <w:gridSpan w:val="3"/>
            <w:vAlign w:val="center"/>
          </w:tcPr>
          <w:p>
            <w:pPr>
              <w:jc w:val="center"/>
              <w:rPr>
                <w:rFonts w:ascii="宋体" w:hAnsi="宋体"/>
                <w:color w:val="000000" w:themeColor="text1"/>
                <w:sz w:val="24"/>
              </w:rPr>
            </w:pPr>
          </w:p>
        </w:tc>
        <w:tc>
          <w:tcPr>
            <w:tcW w:w="1049" w:type="dxa"/>
            <w:vAlign w:val="center"/>
          </w:tcPr>
          <w:p>
            <w:pPr>
              <w:jc w:val="center"/>
              <w:rPr>
                <w:rFonts w:ascii="宋体" w:hAnsi="宋体"/>
                <w:color w:val="000000" w:themeColor="text1"/>
                <w:sz w:val="24"/>
              </w:rPr>
            </w:pPr>
            <w:r>
              <w:rPr>
                <w:rFonts w:hint="eastAsia" w:ascii="宋体" w:hAnsi="宋体"/>
                <w:color w:val="000000" w:themeColor="text1"/>
                <w:sz w:val="24"/>
              </w:rPr>
              <w:t>职称</w:t>
            </w:r>
          </w:p>
        </w:tc>
        <w:tc>
          <w:tcPr>
            <w:tcW w:w="1831" w:type="dxa"/>
            <w:gridSpan w:val="2"/>
            <w:vAlign w:val="center"/>
          </w:tcPr>
          <w:p>
            <w:pPr>
              <w:jc w:val="center"/>
              <w:rPr>
                <w:rFonts w:ascii="宋体" w:hAnsi="宋体"/>
                <w:color w:val="000000" w:themeColor="text1"/>
                <w:sz w:val="24"/>
              </w:rPr>
            </w:pPr>
          </w:p>
        </w:tc>
        <w:tc>
          <w:tcPr>
            <w:tcW w:w="1022" w:type="dxa"/>
            <w:vAlign w:val="center"/>
          </w:tcPr>
          <w:p>
            <w:pPr>
              <w:jc w:val="center"/>
              <w:rPr>
                <w:rFonts w:ascii="宋体" w:hAnsi="宋体"/>
                <w:color w:val="000000" w:themeColor="text1"/>
                <w:sz w:val="24"/>
              </w:rPr>
            </w:pPr>
            <w:r>
              <w:rPr>
                <w:rFonts w:hint="eastAsia" w:ascii="宋体" w:hAnsi="宋体"/>
                <w:color w:val="000000" w:themeColor="text1"/>
                <w:sz w:val="24"/>
              </w:rPr>
              <w:t>学历</w:t>
            </w:r>
          </w:p>
        </w:tc>
        <w:tc>
          <w:tcPr>
            <w:tcW w:w="1969" w:type="dxa"/>
            <w:gridSpan w:val="2"/>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4" w:type="dxa"/>
            <w:gridSpan w:val="3"/>
            <w:vAlign w:val="center"/>
          </w:tcPr>
          <w:p>
            <w:pPr>
              <w:jc w:val="center"/>
              <w:rPr>
                <w:rFonts w:ascii="宋体" w:hAnsi="宋体"/>
                <w:color w:val="000000" w:themeColor="text1"/>
                <w:sz w:val="24"/>
              </w:rPr>
            </w:pPr>
            <w:r>
              <w:rPr>
                <w:rFonts w:hint="eastAsia" w:ascii="宋体" w:hAnsi="宋体"/>
                <w:color w:val="000000" w:themeColor="text1"/>
                <w:sz w:val="24"/>
              </w:rPr>
              <w:t>参加工作时间</w:t>
            </w:r>
          </w:p>
        </w:tc>
        <w:tc>
          <w:tcPr>
            <w:tcW w:w="1940" w:type="dxa"/>
            <w:gridSpan w:val="2"/>
            <w:vAlign w:val="center"/>
          </w:tcPr>
          <w:p>
            <w:pPr>
              <w:jc w:val="center"/>
              <w:rPr>
                <w:rFonts w:ascii="宋体" w:hAnsi="宋体"/>
                <w:color w:val="000000" w:themeColor="text1"/>
                <w:sz w:val="24"/>
              </w:rPr>
            </w:pPr>
          </w:p>
        </w:tc>
        <w:tc>
          <w:tcPr>
            <w:tcW w:w="2853" w:type="dxa"/>
            <w:gridSpan w:val="3"/>
            <w:vAlign w:val="center"/>
          </w:tcPr>
          <w:p>
            <w:pPr>
              <w:jc w:val="center"/>
              <w:rPr>
                <w:rFonts w:ascii="宋体" w:hAnsi="宋体"/>
                <w:color w:val="000000" w:themeColor="text1"/>
                <w:sz w:val="24"/>
              </w:rPr>
            </w:pPr>
            <w:r>
              <w:rPr>
                <w:rFonts w:hint="eastAsia" w:ascii="宋体" w:hAnsi="宋体"/>
                <w:color w:val="000000" w:themeColor="text1"/>
                <w:sz w:val="24"/>
              </w:rPr>
              <w:t>从事技术负责人年限</w:t>
            </w:r>
          </w:p>
        </w:tc>
        <w:tc>
          <w:tcPr>
            <w:tcW w:w="1969" w:type="dxa"/>
            <w:gridSpan w:val="2"/>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36" w:type="dxa"/>
            <w:gridSpan w:val="10"/>
            <w:vAlign w:val="center"/>
          </w:tcPr>
          <w:p>
            <w:pPr>
              <w:jc w:val="center"/>
              <w:rPr>
                <w:rFonts w:ascii="宋体" w:hAnsi="宋体"/>
                <w:color w:val="000000" w:themeColor="text1"/>
                <w:sz w:val="24"/>
              </w:rPr>
            </w:pPr>
            <w:r>
              <w:rPr>
                <w:rFonts w:hint="eastAsia" w:ascii="宋体" w:hAnsi="宋体"/>
                <w:color w:val="000000" w:themeColor="text1"/>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r>
              <w:rPr>
                <w:rFonts w:hint="eastAsia" w:ascii="宋体" w:hAnsi="宋体"/>
                <w:color w:val="000000" w:themeColor="text1"/>
                <w:sz w:val="24"/>
              </w:rPr>
              <w:t>建设单位</w:t>
            </w:r>
          </w:p>
        </w:tc>
        <w:tc>
          <w:tcPr>
            <w:tcW w:w="1520" w:type="dxa"/>
            <w:gridSpan w:val="2"/>
            <w:vAlign w:val="center"/>
          </w:tcPr>
          <w:p>
            <w:pPr>
              <w:jc w:val="center"/>
              <w:rPr>
                <w:rFonts w:ascii="宋体" w:hAnsi="宋体"/>
                <w:color w:val="000000" w:themeColor="text1"/>
                <w:sz w:val="24"/>
              </w:rPr>
            </w:pPr>
            <w:r>
              <w:rPr>
                <w:rFonts w:hint="eastAsia" w:ascii="宋体" w:hAnsi="宋体"/>
                <w:color w:val="000000" w:themeColor="text1"/>
                <w:sz w:val="24"/>
              </w:rPr>
              <w:t>项目名称</w:t>
            </w:r>
          </w:p>
        </w:tc>
        <w:tc>
          <w:tcPr>
            <w:tcW w:w="1260" w:type="dxa"/>
            <w:gridSpan w:val="2"/>
            <w:vAlign w:val="center"/>
          </w:tcPr>
          <w:p>
            <w:pPr>
              <w:jc w:val="center"/>
              <w:rPr>
                <w:rFonts w:ascii="宋体" w:hAnsi="宋体"/>
                <w:color w:val="000000" w:themeColor="text1"/>
                <w:sz w:val="24"/>
              </w:rPr>
            </w:pPr>
            <w:r>
              <w:rPr>
                <w:rFonts w:hint="eastAsia" w:ascii="宋体" w:hAnsi="宋体"/>
                <w:color w:val="000000" w:themeColor="text1"/>
                <w:sz w:val="24"/>
              </w:rPr>
              <w:t>建设规模</w:t>
            </w:r>
          </w:p>
        </w:tc>
        <w:tc>
          <w:tcPr>
            <w:tcW w:w="1620" w:type="dxa"/>
            <w:vAlign w:val="center"/>
          </w:tcPr>
          <w:p>
            <w:pPr>
              <w:jc w:val="center"/>
              <w:rPr>
                <w:rFonts w:ascii="宋体" w:hAnsi="宋体"/>
                <w:color w:val="000000" w:themeColor="text1"/>
                <w:sz w:val="24"/>
              </w:rPr>
            </w:pPr>
            <w:r>
              <w:rPr>
                <w:rFonts w:hint="eastAsia" w:ascii="宋体" w:hAnsi="宋体"/>
                <w:color w:val="000000" w:themeColor="text1"/>
                <w:sz w:val="24"/>
              </w:rPr>
              <w:t>开、竣工日期</w:t>
            </w:r>
          </w:p>
        </w:tc>
        <w:tc>
          <w:tcPr>
            <w:tcW w:w="1440" w:type="dxa"/>
            <w:gridSpan w:val="2"/>
            <w:vAlign w:val="center"/>
          </w:tcPr>
          <w:p>
            <w:pPr>
              <w:jc w:val="center"/>
              <w:rPr>
                <w:rFonts w:ascii="宋体" w:hAnsi="宋体"/>
                <w:color w:val="000000" w:themeColor="text1"/>
                <w:sz w:val="24"/>
              </w:rPr>
            </w:pPr>
            <w:r>
              <w:rPr>
                <w:rFonts w:hint="eastAsia" w:ascii="宋体" w:hAnsi="宋体"/>
                <w:color w:val="000000" w:themeColor="text1"/>
                <w:sz w:val="24"/>
              </w:rPr>
              <w:t>在建或已完</w:t>
            </w:r>
          </w:p>
        </w:tc>
        <w:tc>
          <w:tcPr>
            <w:tcW w:w="1551" w:type="dxa"/>
            <w:vAlign w:val="center"/>
          </w:tcPr>
          <w:p>
            <w:pPr>
              <w:jc w:val="center"/>
              <w:rPr>
                <w:rFonts w:ascii="宋体" w:hAnsi="宋体"/>
                <w:color w:val="000000" w:themeColor="text1"/>
                <w:sz w:val="24"/>
              </w:rPr>
            </w:pPr>
            <w:r>
              <w:rPr>
                <w:rFonts w:hint="eastAsia" w:ascii="宋体" w:hAnsi="宋体"/>
                <w:color w:val="000000" w:themeColor="text1"/>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000000" w:themeColor="text1"/>
                <w:sz w:val="24"/>
              </w:rPr>
            </w:pPr>
          </w:p>
        </w:tc>
        <w:tc>
          <w:tcPr>
            <w:tcW w:w="1520" w:type="dxa"/>
            <w:gridSpan w:val="2"/>
            <w:vAlign w:val="center"/>
          </w:tcPr>
          <w:p>
            <w:pPr>
              <w:jc w:val="center"/>
              <w:rPr>
                <w:rFonts w:ascii="宋体" w:hAnsi="宋体"/>
                <w:color w:val="000000" w:themeColor="text1"/>
                <w:sz w:val="24"/>
              </w:rPr>
            </w:pPr>
          </w:p>
        </w:tc>
        <w:tc>
          <w:tcPr>
            <w:tcW w:w="1260" w:type="dxa"/>
            <w:gridSpan w:val="2"/>
            <w:vAlign w:val="center"/>
          </w:tcPr>
          <w:p>
            <w:pPr>
              <w:jc w:val="center"/>
              <w:rPr>
                <w:rFonts w:ascii="宋体" w:hAnsi="宋体"/>
                <w:color w:val="000000" w:themeColor="text1"/>
                <w:sz w:val="24"/>
              </w:rPr>
            </w:pPr>
          </w:p>
        </w:tc>
        <w:tc>
          <w:tcPr>
            <w:tcW w:w="1620" w:type="dxa"/>
            <w:vAlign w:val="center"/>
          </w:tcPr>
          <w:p>
            <w:pPr>
              <w:jc w:val="center"/>
              <w:rPr>
                <w:rFonts w:ascii="宋体" w:hAnsi="宋体"/>
                <w:color w:val="000000" w:themeColor="text1"/>
                <w:sz w:val="24"/>
              </w:rPr>
            </w:pPr>
          </w:p>
        </w:tc>
        <w:tc>
          <w:tcPr>
            <w:tcW w:w="1440" w:type="dxa"/>
            <w:gridSpan w:val="2"/>
            <w:vAlign w:val="center"/>
          </w:tcPr>
          <w:p>
            <w:pPr>
              <w:jc w:val="center"/>
              <w:rPr>
                <w:rFonts w:ascii="宋体" w:hAnsi="宋体"/>
                <w:color w:val="000000" w:themeColor="text1"/>
                <w:sz w:val="24"/>
              </w:rPr>
            </w:pPr>
          </w:p>
        </w:tc>
        <w:tc>
          <w:tcPr>
            <w:tcW w:w="1551" w:type="dxa"/>
            <w:vAlign w:val="center"/>
          </w:tcPr>
          <w:p>
            <w:pPr>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gridSpan w:val="2"/>
            <w:vAlign w:val="center"/>
          </w:tcPr>
          <w:p>
            <w:pPr>
              <w:jc w:val="center"/>
              <w:rPr>
                <w:rFonts w:ascii="宋体" w:hAnsi="宋体"/>
                <w:color w:val="FF0000"/>
                <w:sz w:val="24"/>
              </w:rPr>
            </w:pPr>
          </w:p>
        </w:tc>
        <w:tc>
          <w:tcPr>
            <w:tcW w:w="1520" w:type="dxa"/>
            <w:gridSpan w:val="2"/>
            <w:vAlign w:val="center"/>
          </w:tcPr>
          <w:p>
            <w:pPr>
              <w:jc w:val="center"/>
              <w:rPr>
                <w:rFonts w:ascii="宋体" w:hAnsi="宋体"/>
                <w:color w:val="FF0000"/>
                <w:sz w:val="24"/>
              </w:rPr>
            </w:pPr>
          </w:p>
        </w:tc>
        <w:tc>
          <w:tcPr>
            <w:tcW w:w="1260" w:type="dxa"/>
            <w:gridSpan w:val="2"/>
            <w:vAlign w:val="center"/>
          </w:tcPr>
          <w:p>
            <w:pPr>
              <w:jc w:val="center"/>
              <w:rPr>
                <w:rFonts w:ascii="宋体" w:hAnsi="宋体"/>
                <w:color w:val="FF0000"/>
                <w:sz w:val="24"/>
              </w:rPr>
            </w:pPr>
          </w:p>
        </w:tc>
        <w:tc>
          <w:tcPr>
            <w:tcW w:w="1620" w:type="dxa"/>
            <w:vAlign w:val="center"/>
          </w:tcPr>
          <w:p>
            <w:pPr>
              <w:jc w:val="center"/>
              <w:rPr>
                <w:rFonts w:ascii="宋体" w:hAnsi="宋体"/>
                <w:color w:val="FF0000"/>
                <w:sz w:val="24"/>
              </w:rPr>
            </w:pPr>
          </w:p>
        </w:tc>
        <w:tc>
          <w:tcPr>
            <w:tcW w:w="1440" w:type="dxa"/>
            <w:gridSpan w:val="2"/>
            <w:vAlign w:val="center"/>
          </w:tcPr>
          <w:p>
            <w:pPr>
              <w:jc w:val="center"/>
              <w:rPr>
                <w:rFonts w:ascii="宋体" w:hAnsi="宋体"/>
                <w:color w:val="FF0000"/>
                <w:sz w:val="24"/>
              </w:rPr>
            </w:pPr>
          </w:p>
        </w:tc>
        <w:tc>
          <w:tcPr>
            <w:tcW w:w="1551" w:type="dxa"/>
            <w:vAlign w:val="center"/>
          </w:tcPr>
          <w:p>
            <w:pPr>
              <w:jc w:val="center"/>
              <w:rPr>
                <w:rFonts w:ascii="宋体" w:hAnsi="宋体"/>
                <w:color w:val="FF0000"/>
                <w:sz w:val="24"/>
              </w:rPr>
            </w:pPr>
          </w:p>
        </w:tc>
      </w:tr>
    </w:tbl>
    <w:p>
      <w:pPr>
        <w:jc w:val="left"/>
        <w:rPr>
          <w:rFonts w:ascii="宋体" w:hAnsi="宋体"/>
          <w:b/>
          <w:bCs/>
          <w:color w:val="000000" w:themeColor="text1"/>
          <w:sz w:val="24"/>
        </w:rPr>
      </w:pPr>
      <w:r>
        <w:rPr>
          <w:rFonts w:hint="eastAsia" w:ascii="宋体" w:hAnsi="宋体"/>
          <w:b/>
          <w:bCs/>
          <w:color w:val="FF0000"/>
          <w:sz w:val="24"/>
        </w:rPr>
        <w:t>注意：如为联合体投标，由联合体牵头单位统一填写</w:t>
      </w:r>
      <w:r>
        <w:rPr>
          <w:rFonts w:hint="eastAsia" w:ascii="宋体" w:hAnsi="宋体"/>
          <w:b/>
          <w:bCs/>
          <w:sz w:val="24"/>
        </w:rPr>
        <w:t>。</w:t>
      </w:r>
    </w:p>
    <w:p>
      <w:pPr>
        <w:pStyle w:val="4"/>
        <w:adjustRightInd w:val="0"/>
        <w:snapToGrid w:val="0"/>
        <w:spacing w:before="0" w:after="100" w:afterAutospacing="1" w:line="240" w:lineRule="auto"/>
        <w:jc w:val="left"/>
        <w:rPr>
          <w:rFonts w:ascii="黑体" w:hAnsi="黑体"/>
          <w:bCs w:val="0"/>
          <w:color w:val="000000" w:themeColor="text1"/>
          <w:sz w:val="36"/>
          <w:szCs w:val="36"/>
        </w:rPr>
      </w:pPr>
      <w:r>
        <w:rPr>
          <w:rFonts w:ascii="宋体" w:hAnsi="宋体"/>
          <w:b w:val="0"/>
          <w:bCs w:val="0"/>
          <w:color w:val="000000" w:themeColor="text1"/>
        </w:rPr>
        <w:br w:type="page"/>
      </w:r>
      <w:bookmarkStart w:id="146" w:name="_Toc193186935"/>
      <w:bookmarkStart w:id="147" w:name="_Toc42206717"/>
      <w:bookmarkStart w:id="148" w:name="_Toc434831213"/>
      <w:bookmarkStart w:id="149" w:name="_Toc414384937"/>
      <w:r>
        <w:rPr>
          <w:rFonts w:hint="eastAsia" w:ascii="黑体" w:hAnsi="黑体"/>
          <w:bCs w:val="0"/>
          <w:color w:val="000000" w:themeColor="text1"/>
          <w:sz w:val="36"/>
          <w:szCs w:val="36"/>
        </w:rPr>
        <w:t>表四</w:t>
      </w:r>
      <w:r>
        <w:rPr>
          <w:rFonts w:ascii="黑体" w:hAnsi="黑体"/>
          <w:bCs w:val="0"/>
          <w:color w:val="000000" w:themeColor="text1"/>
          <w:sz w:val="36"/>
          <w:szCs w:val="36"/>
        </w:rPr>
        <w:t xml:space="preserve">-3 </w:t>
      </w:r>
      <w:r>
        <w:rPr>
          <w:rFonts w:hint="eastAsia" w:ascii="黑体" w:hAnsi="黑体"/>
          <w:bCs w:val="0"/>
          <w:color w:val="000000" w:themeColor="text1"/>
          <w:sz w:val="36"/>
          <w:szCs w:val="36"/>
        </w:rPr>
        <w:t>项目管理班子配备情况辅助说明资料</w:t>
      </w:r>
      <w:bookmarkEnd w:id="146"/>
      <w:bookmarkEnd w:id="147"/>
      <w:bookmarkEnd w:id="148"/>
      <w:bookmarkEnd w:id="149"/>
    </w:p>
    <w:tbl>
      <w:tblPr>
        <w:tblStyle w:val="41"/>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6" w:hRule="atLeast"/>
          <w:jc w:val="center"/>
        </w:trPr>
        <w:tc>
          <w:tcPr>
            <w:tcW w:w="9348" w:type="dxa"/>
          </w:tcPr>
          <w:p>
            <w:pPr>
              <w:rPr>
                <w:rFonts w:ascii="宋体" w:hAnsi="宋体"/>
                <w:color w:val="000000" w:themeColor="text1"/>
                <w:sz w:val="30"/>
              </w:rPr>
            </w:pPr>
            <w:r>
              <w:rPr>
                <w:rFonts w:hint="eastAsia" w:ascii="宋体" w:hAnsi="宋体"/>
                <w:color w:val="000000" w:themeColor="text1"/>
                <w:sz w:val="30"/>
              </w:rPr>
              <w:t>项目管理班子配备情况辅助说明资料另附（与本投标文件一起装订）</w:t>
            </w: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jc w:val="center"/>
              <w:rPr>
                <w:rFonts w:ascii="宋体" w:hAnsi="宋体"/>
                <w:color w:val="000000" w:themeColor="text1"/>
                <w:sz w:val="30"/>
              </w:rPr>
            </w:pPr>
          </w:p>
          <w:p>
            <w:pPr>
              <w:rPr>
                <w:rFonts w:ascii="宋体" w:hAnsi="宋体"/>
                <w:color w:val="000000" w:themeColor="text1"/>
                <w:sz w:val="30"/>
              </w:rPr>
            </w:pPr>
          </w:p>
        </w:tc>
      </w:tr>
    </w:tbl>
    <w:p>
      <w:pPr>
        <w:pStyle w:val="35"/>
        <w:adjustRightInd w:val="0"/>
        <w:snapToGrid w:val="0"/>
        <w:spacing w:line="360" w:lineRule="auto"/>
        <w:rPr>
          <w:color w:val="000000" w:themeColor="text1"/>
        </w:rPr>
      </w:pPr>
      <w:r>
        <w:rPr>
          <w:rFonts w:hint="eastAsia"/>
          <w:color w:val="000000" w:themeColor="text1"/>
        </w:rPr>
        <w:t>注：辅助说明资料主要包括管理班子机构设置、职责分工、有关复印证明资料以及投标人认为有必要提供的资料。辅助说明资料格式不做统一规定，由投标人自行设计。</w:t>
      </w:r>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pStyle w:val="35"/>
        <w:adjustRightInd w:val="0"/>
        <w:snapToGrid w:val="0"/>
        <w:spacing w:line="360" w:lineRule="auto"/>
        <w:rPr>
          <w:color w:val="000000" w:themeColor="text1"/>
        </w:rPr>
      </w:pPr>
    </w:p>
    <w:p>
      <w:pPr>
        <w:ind w:firstLine="880"/>
        <w:jc w:val="center"/>
        <w:rPr>
          <w:rFonts w:eastAsia="黑体"/>
          <w:color w:val="000000" w:themeColor="text1"/>
          <w:sz w:val="44"/>
        </w:rPr>
        <w:sectPr>
          <w:pgSz w:w="11907" w:h="16840"/>
          <w:pgMar w:top="1440" w:right="1247" w:bottom="1440" w:left="1247" w:header="851" w:footer="992" w:gutter="0"/>
          <w:cols w:space="425" w:num="1"/>
          <w:docGrid w:linePitch="312" w:charSpace="0"/>
        </w:sectPr>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50" w:name="_Toc42206718"/>
      <w:bookmarkStart w:id="151" w:name="_Toc414384938"/>
      <w:r>
        <w:rPr>
          <w:rFonts w:hint="eastAsia" w:ascii="黑体" w:hAnsi="黑体"/>
          <w:bCs w:val="0"/>
          <w:color w:val="000000" w:themeColor="text1"/>
          <w:sz w:val="36"/>
          <w:szCs w:val="36"/>
        </w:rPr>
        <w:t>表五投标单位保障措施</w:t>
      </w:r>
      <w:bookmarkEnd w:id="150"/>
      <w:bookmarkEnd w:id="151"/>
    </w:p>
    <w:tbl>
      <w:tblPr>
        <w:tblStyle w:val="41"/>
        <w:tblW w:w="9473" w:type="dxa"/>
        <w:tblInd w:w="0" w:type="dxa"/>
        <w:tblLayout w:type="fixed"/>
        <w:tblCellMar>
          <w:top w:w="0" w:type="dxa"/>
          <w:left w:w="54" w:type="dxa"/>
          <w:bottom w:w="0" w:type="dxa"/>
          <w:right w:w="54" w:type="dxa"/>
        </w:tblCellMar>
      </w:tblPr>
      <w:tblGrid>
        <w:gridCol w:w="9473"/>
      </w:tblGrid>
      <w:tr>
        <w:tblPrEx>
          <w:tblCellMar>
            <w:top w:w="0" w:type="dxa"/>
            <w:left w:w="54" w:type="dxa"/>
            <w:bottom w:w="0" w:type="dxa"/>
            <w:right w:w="54" w:type="dxa"/>
          </w:tblCellMar>
        </w:tblPrEx>
        <w:trPr>
          <w:cantSplit/>
          <w:trHeight w:val="503" w:hRule="atLeast"/>
        </w:trPr>
        <w:tc>
          <w:tcPr>
            <w:tcW w:w="9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本单位在项目实施过程中采取的保障措施</w:t>
            </w:r>
          </w:p>
        </w:tc>
      </w:tr>
      <w:tr>
        <w:tblPrEx>
          <w:tblCellMar>
            <w:top w:w="0" w:type="dxa"/>
            <w:left w:w="54" w:type="dxa"/>
            <w:bottom w:w="0" w:type="dxa"/>
            <w:right w:w="54" w:type="dxa"/>
          </w:tblCellMar>
        </w:tblPrEx>
        <w:trPr>
          <w:cantSplit/>
          <w:trHeight w:val="11343" w:hRule="atLeast"/>
        </w:trPr>
        <w:tc>
          <w:tcPr>
            <w:tcW w:w="9473"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color w:val="000000" w:themeColor="text1"/>
                <w:kern w:val="0"/>
                <w:sz w:val="28"/>
              </w:rPr>
            </w:pPr>
          </w:p>
        </w:tc>
      </w:tr>
    </w:tbl>
    <w:p>
      <w:pPr>
        <w:autoSpaceDE w:val="0"/>
        <w:autoSpaceDN w:val="0"/>
        <w:adjustRightInd w:val="0"/>
        <w:rPr>
          <w:rFonts w:ascii="宋体"/>
          <w:color w:val="000000" w:themeColor="text1"/>
          <w:kern w:val="0"/>
          <w:sz w:val="28"/>
        </w:rPr>
      </w:pPr>
      <w:r>
        <w:rPr>
          <w:rFonts w:hint="eastAsia" w:ascii="宋体"/>
          <w:color w:val="000000" w:themeColor="text1"/>
          <w:kern w:val="0"/>
          <w:sz w:val="28"/>
        </w:rPr>
        <w:t>注：栏目不足可续表</w:t>
      </w:r>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autoSpaceDE w:val="0"/>
        <w:autoSpaceDN w:val="0"/>
        <w:adjustRightInd w:val="0"/>
        <w:rPr>
          <w:rFonts w:ascii="宋体"/>
          <w:color w:val="000000" w:themeColor="text1"/>
          <w:kern w:val="0"/>
          <w:sz w:val="28"/>
        </w:rPr>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52" w:name="_Toc414384939"/>
      <w:bookmarkStart w:id="153" w:name="_Toc42206719"/>
      <w:r>
        <w:rPr>
          <w:rFonts w:hint="eastAsia" w:ascii="黑体" w:hAnsi="黑体"/>
          <w:bCs w:val="0"/>
          <w:color w:val="000000" w:themeColor="text1"/>
          <w:sz w:val="36"/>
          <w:szCs w:val="36"/>
        </w:rPr>
        <w:t>表六投标单位完成本项目的工作基础和有利条件</w:t>
      </w:r>
      <w:bookmarkEnd w:id="152"/>
      <w:bookmarkEnd w:id="153"/>
    </w:p>
    <w:tbl>
      <w:tblPr>
        <w:tblStyle w:val="41"/>
        <w:tblW w:w="9360" w:type="dxa"/>
        <w:jc w:val="center"/>
        <w:tblLayout w:type="fixed"/>
        <w:tblCellMar>
          <w:top w:w="0" w:type="dxa"/>
          <w:left w:w="54" w:type="dxa"/>
          <w:bottom w:w="0" w:type="dxa"/>
          <w:right w:w="54" w:type="dxa"/>
        </w:tblCellMar>
      </w:tblPr>
      <w:tblGrid>
        <w:gridCol w:w="9360"/>
      </w:tblGrid>
      <w:tr>
        <w:tblPrEx>
          <w:tblCellMar>
            <w:top w:w="0" w:type="dxa"/>
            <w:left w:w="54" w:type="dxa"/>
            <w:bottom w:w="0" w:type="dxa"/>
            <w:right w:w="54" w:type="dxa"/>
          </w:tblCellMar>
        </w:tblPrEx>
        <w:trPr>
          <w:cantSplit/>
          <w:trHeight w:val="480" w:hRule="atLeast"/>
          <w:jc w:val="center"/>
        </w:trPr>
        <w:tc>
          <w:tcPr>
            <w:tcW w:w="9360" w:type="dxa"/>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olor w:val="000000" w:themeColor="text1"/>
                <w:kern w:val="0"/>
                <w:sz w:val="28"/>
              </w:rPr>
            </w:pPr>
            <w:r>
              <w:rPr>
                <w:rFonts w:hint="eastAsia" w:ascii="宋体"/>
                <w:color w:val="000000" w:themeColor="text1"/>
                <w:kern w:val="0"/>
                <w:sz w:val="28"/>
              </w:rPr>
              <w:t>完成本项目的工作基础和在招标文件中未作规定的有利条件</w:t>
            </w:r>
          </w:p>
        </w:tc>
      </w:tr>
      <w:tr>
        <w:tblPrEx>
          <w:tblCellMar>
            <w:top w:w="0" w:type="dxa"/>
            <w:left w:w="54" w:type="dxa"/>
            <w:bottom w:w="0" w:type="dxa"/>
            <w:right w:w="54" w:type="dxa"/>
          </w:tblCellMar>
        </w:tblPrEx>
        <w:trPr>
          <w:cantSplit/>
          <w:trHeight w:val="11215" w:hRule="atLeast"/>
          <w:jc w:val="center"/>
        </w:trPr>
        <w:tc>
          <w:tcPr>
            <w:tcW w:w="9360" w:type="dxa"/>
            <w:tcBorders>
              <w:top w:val="single" w:color="auto" w:sz="6" w:space="0"/>
              <w:left w:val="single" w:color="auto" w:sz="6" w:space="0"/>
              <w:bottom w:val="single" w:color="auto" w:sz="6" w:space="0"/>
              <w:right w:val="single" w:color="auto" w:sz="4" w:space="0"/>
            </w:tcBorders>
          </w:tcPr>
          <w:p>
            <w:pPr>
              <w:autoSpaceDE w:val="0"/>
              <w:autoSpaceDN w:val="0"/>
              <w:adjustRightInd w:val="0"/>
              <w:rPr>
                <w:rFonts w:ascii="宋体"/>
                <w:color w:val="000000" w:themeColor="text1"/>
                <w:kern w:val="0"/>
                <w:sz w:val="28"/>
              </w:rPr>
            </w:pPr>
          </w:p>
        </w:tc>
      </w:tr>
    </w:tbl>
    <w:p>
      <w:pPr>
        <w:rPr>
          <w:rFonts w:ascii="宋体"/>
          <w:color w:val="000000" w:themeColor="text1"/>
          <w:kern w:val="0"/>
          <w:sz w:val="28"/>
        </w:rPr>
      </w:pPr>
      <w:r>
        <w:rPr>
          <w:rFonts w:hint="eastAsia" w:ascii="宋体"/>
          <w:color w:val="000000" w:themeColor="text1"/>
          <w:kern w:val="0"/>
          <w:sz w:val="28"/>
        </w:rPr>
        <w:t>注：栏目不足可续表</w:t>
      </w:r>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rPr>
          <w:rFonts w:ascii="宋体"/>
          <w:color w:val="000000" w:themeColor="text1"/>
          <w:kern w:val="0"/>
          <w:sz w:val="28"/>
        </w:rPr>
      </w:pPr>
    </w:p>
    <w:p>
      <w:pPr>
        <w:pStyle w:val="4"/>
        <w:adjustRightInd w:val="0"/>
        <w:snapToGrid w:val="0"/>
        <w:spacing w:before="0" w:after="100" w:afterAutospacing="1" w:line="240" w:lineRule="auto"/>
        <w:jc w:val="left"/>
        <w:rPr>
          <w:rFonts w:ascii="黑体" w:hAnsi="黑体"/>
          <w:bCs w:val="0"/>
          <w:color w:val="000000" w:themeColor="text1"/>
          <w:sz w:val="36"/>
          <w:szCs w:val="36"/>
        </w:rPr>
      </w:pPr>
      <w:bookmarkStart w:id="154" w:name="_Toc42206720"/>
      <w:bookmarkStart w:id="155" w:name="_Toc414384940"/>
      <w:r>
        <w:rPr>
          <w:rFonts w:hint="eastAsia" w:ascii="黑体" w:hAnsi="黑体"/>
          <w:bCs w:val="0"/>
          <w:color w:val="000000" w:themeColor="text1"/>
          <w:sz w:val="36"/>
          <w:szCs w:val="36"/>
        </w:rPr>
        <w:t>表七投标单位审查意见</w:t>
      </w:r>
      <w:bookmarkEnd w:id="154"/>
      <w:bookmarkEnd w:id="155"/>
    </w:p>
    <w:tbl>
      <w:tblPr>
        <w:tblStyle w:val="4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1" w:hRule="atLeast"/>
          <w:jc w:val="center"/>
        </w:trPr>
        <w:tc>
          <w:tcPr>
            <w:tcW w:w="9468" w:type="dxa"/>
          </w:tcPr>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p>
          <w:p>
            <w:pPr>
              <w:tabs>
                <w:tab w:val="left" w:pos="8085"/>
              </w:tabs>
              <w:rPr>
                <w:color w:val="000000" w:themeColor="text1"/>
              </w:rPr>
            </w:pPr>
            <w:r>
              <w:rPr>
                <w:rFonts w:hint="eastAsia"/>
                <w:color w:val="000000" w:themeColor="text1"/>
              </w:rPr>
              <w:t>单位法定代表人（签字）和单位公章</w:t>
            </w:r>
          </w:p>
          <w:p>
            <w:pPr>
              <w:tabs>
                <w:tab w:val="left" w:pos="8085"/>
              </w:tabs>
              <w:ind w:firstLine="5250" w:firstLineChars="2500"/>
              <w:rPr>
                <w:color w:val="000000" w:themeColor="text1"/>
              </w:rPr>
            </w:pPr>
          </w:p>
          <w:p>
            <w:pPr>
              <w:tabs>
                <w:tab w:val="left" w:pos="8085"/>
              </w:tabs>
              <w:rPr>
                <w:color w:val="000000" w:themeColor="text1"/>
              </w:rPr>
            </w:pPr>
          </w:p>
          <w:p>
            <w:pPr>
              <w:tabs>
                <w:tab w:val="left" w:pos="8085"/>
              </w:tabs>
              <w:rPr>
                <w:color w:val="000000" w:themeColor="text1"/>
              </w:rPr>
            </w:pPr>
            <w:r>
              <w:rPr>
                <w:rFonts w:hint="eastAsia"/>
                <w:color w:val="000000" w:themeColor="text1"/>
              </w:rPr>
              <w:t>　年　月　日</w:t>
            </w:r>
          </w:p>
          <w:p>
            <w:pPr>
              <w:autoSpaceDE w:val="0"/>
              <w:autoSpaceDN w:val="0"/>
              <w:adjustRightInd w:val="0"/>
              <w:rPr>
                <w:rFonts w:ascii="黑体" w:eastAsia="黑体"/>
                <w:b/>
                <w:color w:val="000000" w:themeColor="text1"/>
                <w:sz w:val="44"/>
                <w:szCs w:val="44"/>
              </w:rPr>
            </w:pPr>
          </w:p>
        </w:tc>
      </w:tr>
    </w:tbl>
    <w:p>
      <w:pPr>
        <w:jc w:val="left"/>
        <w:rPr>
          <w:color w:val="000000" w:themeColor="text1"/>
          <w:sz w:val="28"/>
        </w:rPr>
      </w:pPr>
      <w:r>
        <w:rPr>
          <w:rFonts w:hint="eastAsia"/>
          <w:color w:val="000000" w:themeColor="text1"/>
          <w:sz w:val="28"/>
        </w:rPr>
        <w:t>注：栏目不足可续表</w:t>
      </w:r>
      <w:bookmarkEnd w:id="83"/>
    </w:p>
    <w:p>
      <w:pPr>
        <w:jc w:val="left"/>
        <w:rPr>
          <w:rFonts w:ascii="宋体" w:hAnsi="宋体"/>
          <w:b/>
          <w:bCs/>
          <w:color w:val="FF0000"/>
          <w:sz w:val="24"/>
        </w:rPr>
      </w:pPr>
      <w:r>
        <w:rPr>
          <w:rFonts w:hint="eastAsia" w:ascii="宋体" w:hAnsi="宋体"/>
          <w:b/>
          <w:bCs/>
          <w:color w:val="FF0000"/>
          <w:sz w:val="24"/>
        </w:rPr>
        <w:t>注意：如为联合体投标，由联合体牵头单位统一填写。</w:t>
      </w:r>
    </w:p>
    <w:p>
      <w:pPr>
        <w:pStyle w:val="4"/>
        <w:adjustRightInd w:val="0"/>
        <w:snapToGrid w:val="0"/>
        <w:spacing w:before="0" w:after="100" w:afterAutospacing="1" w:line="240" w:lineRule="auto"/>
        <w:jc w:val="left"/>
        <w:rPr>
          <w:rFonts w:ascii="黑体" w:hAnsi="黑体"/>
          <w:bCs w:val="0"/>
          <w:color w:val="000000" w:themeColor="text1"/>
          <w:sz w:val="36"/>
          <w:szCs w:val="36"/>
        </w:rPr>
      </w:pPr>
      <w:r>
        <w:rPr>
          <w:color w:val="000000" w:themeColor="text1"/>
          <w:sz w:val="28"/>
        </w:rPr>
        <w:br w:type="page"/>
      </w:r>
      <w:bookmarkStart w:id="156" w:name="_Toc42206721"/>
      <w:r>
        <w:rPr>
          <w:rFonts w:hint="eastAsia" w:ascii="黑体" w:hAnsi="黑体"/>
          <w:bCs w:val="0"/>
          <w:color w:val="000000" w:themeColor="text1"/>
          <w:sz w:val="36"/>
          <w:szCs w:val="36"/>
        </w:rPr>
        <w:t>表八投标人资格证明文件</w:t>
      </w:r>
      <w:bookmarkEnd w:id="156"/>
    </w:p>
    <w:p>
      <w:pPr>
        <w:spacing w:line="500" w:lineRule="exact"/>
        <w:ind w:left="1020" w:leftChars="200" w:hanging="600"/>
        <w:rPr>
          <w:rFonts w:ascii="宋体" w:hAnsi="宋体"/>
          <w:b/>
          <w:bCs/>
          <w:color w:val="000000" w:themeColor="text1"/>
          <w:sz w:val="24"/>
        </w:rPr>
      </w:pPr>
      <w:r>
        <w:rPr>
          <w:rFonts w:ascii="宋体" w:hAnsi="宋体"/>
          <w:b/>
          <w:bCs/>
          <w:color w:val="000000" w:themeColor="text1"/>
          <w:sz w:val="24"/>
        </w:rPr>
        <w:t>1、</w:t>
      </w:r>
      <w:r>
        <w:rPr>
          <w:rFonts w:hint="eastAsia" w:ascii="宋体" w:hAnsi="宋体"/>
          <w:b/>
          <w:bCs/>
          <w:color w:val="000000" w:themeColor="text1"/>
          <w:sz w:val="24"/>
        </w:rPr>
        <w:t>如是联合体投标，联合体各方均须提供下述证明：</w:t>
      </w:r>
    </w:p>
    <w:p>
      <w:pPr>
        <w:spacing w:line="500" w:lineRule="exact"/>
        <w:ind w:left="1020" w:leftChars="200" w:hanging="600"/>
        <w:rPr>
          <w:rFonts w:ascii="宋体" w:hAnsi="宋体" w:eastAsiaTheme="minorEastAsia"/>
          <w:color w:val="000000" w:themeColor="text1"/>
          <w:sz w:val="24"/>
        </w:rPr>
      </w:pPr>
      <w:r>
        <w:rPr>
          <w:rFonts w:hint="eastAsia" w:ascii="宋体" w:hAnsi="宋体"/>
          <w:color w:val="000000" w:themeColor="text1"/>
          <w:sz w:val="24"/>
        </w:rPr>
        <w:t>*（1）提供有效的营业执照副本、组织机构代码证书副本、税务登记证副本；或多证合一后的营业执照副本；或事业单位法人证书；或其他能够证明可独立承担民事责任的证明材料（复印件或扫描件，并加盖单位公章）。</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2）投标人在投标文件中，必须提供由会计师事务所出具的上一年度（2019年，2019年未审计的可提供2018年）审计报告复印件并加盖投标人单位公章；如投标人无法提供审计报告，则需提供银行在开标日前三个月内开具资信证明的复印件加盖公章，采购代理机构保留审核资信证明原件的权利。银行资信证明应能说明该投标人与银行之间业务往来正常，企业信誉良好等。</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 xml:space="preserve">*（3）投标截止日前6个月内任意一个月投标人缴税的凭据复印件并加盖投标人公章（国家、地方工商管理部门或者其他相关管理部门对企事业单位纳税有特别规定的（如免缴），由投标单位出具相关书面说明）。 </w:t>
      </w:r>
    </w:p>
    <w:p>
      <w:pPr>
        <w:spacing w:line="500" w:lineRule="exact"/>
        <w:ind w:left="1020" w:leftChars="200" w:hanging="600"/>
        <w:rPr>
          <w:rFonts w:ascii="宋体" w:hAnsi="宋体"/>
          <w:color w:val="000000" w:themeColor="text1"/>
          <w:sz w:val="24"/>
        </w:rPr>
      </w:pPr>
      <w:r>
        <w:rPr>
          <w:rFonts w:hint="eastAsia" w:ascii="宋体" w:hAnsi="宋体"/>
          <w:color w:val="000000" w:themeColor="text1"/>
          <w:sz w:val="24"/>
        </w:rPr>
        <w:t xml:space="preserve">*（4）投标截止日前6个月内任意一个月投标人缴纳社会保险的凭据复印件并加盖投标人公章（国家、地方工商管理部门或者其他相关管理部门对社保资金缴纳有特别政策的（如免缴），由投标单位出具相关书面说明）。 </w:t>
      </w:r>
    </w:p>
    <w:p>
      <w:pPr>
        <w:spacing w:line="500" w:lineRule="exact"/>
        <w:ind w:left="1020" w:leftChars="200" w:hanging="600"/>
        <w:jc w:val="left"/>
        <w:rPr>
          <w:rFonts w:ascii="宋体" w:hAnsi="宋体" w:eastAsiaTheme="minorEastAsia"/>
          <w:color w:val="000000" w:themeColor="text1"/>
          <w:sz w:val="24"/>
        </w:rPr>
      </w:pPr>
      <w:r>
        <w:rPr>
          <w:rFonts w:hint="eastAsia" w:ascii="宋体" w:hAnsi="宋体"/>
          <w:color w:val="000000" w:themeColor="text1"/>
          <w:sz w:val="24"/>
        </w:rPr>
        <w:t>*（5）参加政府采购活动前三年内，在经营活动中没有重大违法记录声明。（格式自拟）</w:t>
      </w:r>
    </w:p>
    <w:p>
      <w:pPr>
        <w:spacing w:line="500" w:lineRule="exact"/>
        <w:rPr>
          <w:rFonts w:ascii="宋体" w:hAnsi="宋体"/>
          <w:b/>
          <w:bCs/>
          <w:color w:val="000000" w:themeColor="text1"/>
          <w:sz w:val="24"/>
        </w:rPr>
      </w:pPr>
    </w:p>
    <w:p>
      <w:pPr>
        <w:spacing w:line="500" w:lineRule="exact"/>
        <w:ind w:left="1020" w:leftChars="200" w:hanging="600"/>
        <w:rPr>
          <w:rFonts w:ascii="宋体" w:hAnsi="宋体"/>
          <w:b/>
          <w:bCs/>
          <w:color w:val="000000" w:themeColor="text1"/>
          <w:sz w:val="24"/>
        </w:rPr>
      </w:pPr>
      <w:r>
        <w:rPr>
          <w:rFonts w:ascii="宋体" w:hAnsi="宋体"/>
          <w:b/>
          <w:bCs/>
          <w:color w:val="000000" w:themeColor="text1"/>
          <w:sz w:val="24"/>
        </w:rPr>
        <w:t>2</w:t>
      </w:r>
      <w:r>
        <w:rPr>
          <w:rFonts w:hint="eastAsia" w:ascii="宋体" w:hAnsi="宋体"/>
          <w:b/>
          <w:bCs/>
          <w:color w:val="000000" w:themeColor="text1"/>
          <w:sz w:val="24"/>
        </w:rPr>
        <w:t>、参加本项目的投标人或参加联合体投标承担地下水水质检测任务的投标人应具有国家级或省级以上检验检测机构实验室资质认定资质（CMA），CMA证书包括42项指标，为《地下水质量标准》（GB/T14848-2017）中37项常规指标（总α放射性、总β放射性除外）及其他5项地下水化学指标（钾、钙、镁、碳酸根、重碳酸根）</w:t>
      </w:r>
      <w:r>
        <w:rPr>
          <w:rFonts w:hint="eastAsia" w:ascii="宋体" w:hAnsi="宋体"/>
          <w:sz w:val="24"/>
        </w:rPr>
        <w:t>（需提供资质认定证书复印件，</w:t>
      </w:r>
      <w:r>
        <w:rPr>
          <w:rFonts w:hint="eastAsia" w:ascii="宋体" w:hAnsi="宋体"/>
          <w:color w:val="000000" w:themeColor="text1"/>
          <w:sz w:val="24"/>
        </w:rPr>
        <w:t>并加盖单位公章，</w:t>
      </w:r>
      <w:r>
        <w:rPr>
          <w:rFonts w:hint="eastAsia" w:ascii="宋体" w:hAnsi="宋体"/>
          <w:sz w:val="24"/>
        </w:rPr>
        <w:t>原件备查）</w:t>
      </w:r>
      <w:r>
        <w:rPr>
          <w:rFonts w:hint="eastAsia" w:ascii="宋体" w:hAnsi="宋体"/>
          <w:b/>
          <w:bCs/>
          <w:color w:val="000000" w:themeColor="text1"/>
          <w:sz w:val="24"/>
        </w:rPr>
        <w:t>。</w:t>
      </w:r>
    </w:p>
    <w:p>
      <w:pPr>
        <w:spacing w:line="500" w:lineRule="exact"/>
        <w:ind w:left="1020" w:leftChars="200" w:hanging="600"/>
        <w:rPr>
          <w:rFonts w:ascii="宋体" w:hAnsi="宋体"/>
          <w:b/>
          <w:bCs/>
          <w:color w:val="000000" w:themeColor="text1"/>
          <w:sz w:val="24"/>
        </w:rPr>
      </w:pPr>
      <w:r>
        <w:rPr>
          <w:rFonts w:ascii="宋体" w:hAnsi="宋体"/>
          <w:b/>
          <w:bCs/>
          <w:color w:val="000000" w:themeColor="text1"/>
          <w:sz w:val="24"/>
        </w:rPr>
        <w:br w:type="page"/>
      </w:r>
    </w:p>
    <w:p>
      <w:pPr>
        <w:pStyle w:val="3"/>
        <w:spacing w:before="0" w:after="0" w:line="360" w:lineRule="auto"/>
        <w:jc w:val="center"/>
        <w:rPr>
          <w:rFonts w:ascii="宋体" w:hAnsi="宋体"/>
          <w:kern w:val="2"/>
          <w:sz w:val="36"/>
          <w:szCs w:val="36"/>
        </w:rPr>
      </w:pPr>
      <w:bookmarkStart w:id="157" w:name="_Toc13284"/>
      <w:bookmarkStart w:id="158" w:name="_Toc44343324"/>
      <w:r>
        <w:rPr>
          <w:rFonts w:hint="eastAsia" w:ascii="宋体" w:hAnsi="宋体"/>
          <w:kern w:val="2"/>
          <w:sz w:val="36"/>
          <w:szCs w:val="36"/>
        </w:rPr>
        <w:t>招标文件5:合同格式</w:t>
      </w:r>
      <w:bookmarkEnd w:id="157"/>
      <w:bookmarkEnd w:id="158"/>
    </w:p>
    <w:p>
      <w:pPr>
        <w:outlineLvl w:val="0"/>
        <w:rPr>
          <w:rFonts w:ascii="宋体" w:hAnsi="宋体"/>
          <w:b/>
          <w:sz w:val="28"/>
          <w:szCs w:val="28"/>
        </w:rPr>
      </w:pPr>
      <w:bookmarkStart w:id="159" w:name="_Toc25817"/>
      <w:r>
        <w:rPr>
          <w:rFonts w:hint="eastAsia" w:ascii="宋体" w:hAnsi="宋体"/>
          <w:b/>
          <w:sz w:val="28"/>
          <w:szCs w:val="28"/>
        </w:rPr>
        <w:t>服务类</w:t>
      </w:r>
      <w:bookmarkEnd w:id="159"/>
    </w:p>
    <w:p>
      <w:pPr>
        <w:rPr>
          <w:rFonts w:ascii="宋体" w:hAnsi="宋体"/>
          <w:b/>
          <w:sz w:val="28"/>
          <w:szCs w:val="28"/>
        </w:rPr>
      </w:pPr>
    </w:p>
    <w:p>
      <w:pPr>
        <w:jc w:val="center"/>
        <w:rPr>
          <w:rFonts w:ascii="宋体" w:hAnsi="宋体"/>
          <w:b/>
          <w:sz w:val="28"/>
          <w:szCs w:val="28"/>
        </w:rPr>
      </w:pPr>
    </w:p>
    <w:p>
      <w:pPr>
        <w:rPr>
          <w:sz w:val="32"/>
        </w:rPr>
      </w:pPr>
      <w:r>
        <w:rPr>
          <w:rFonts w:hint="eastAsia" w:cs="宋体"/>
          <w:sz w:val="32"/>
        </w:rPr>
        <w:t>合同登记编号：</w:t>
      </w:r>
    </w:p>
    <w:p>
      <w:r>
        <w:br w:type="textWrapping"/>
      </w:r>
    </w:p>
    <w:p>
      <w:pPr>
        <w:tabs>
          <w:tab w:val="center" w:pos="4768"/>
          <w:tab w:val="left" w:pos="8711"/>
        </w:tabs>
        <w:spacing w:before="300"/>
        <w:jc w:val="left"/>
        <w:outlineLvl w:val="0"/>
        <w:rPr>
          <w:rFonts w:eastAsia="标宋体"/>
          <w:b/>
          <w:spacing w:val="180"/>
          <w:sz w:val="48"/>
        </w:rPr>
      </w:pPr>
      <w:r>
        <w:rPr>
          <w:rFonts w:hint="eastAsia" w:hAnsi="标宋体" w:eastAsia="标宋体" w:cs="标宋体"/>
          <w:b/>
          <w:spacing w:val="180"/>
          <w:sz w:val="48"/>
        </w:rPr>
        <w:tab/>
      </w:r>
      <w:bookmarkStart w:id="160" w:name="_Toc20355"/>
      <w:r>
        <w:rPr>
          <w:rFonts w:hint="eastAsia" w:hAnsi="标宋体" w:eastAsia="标宋体" w:cs="标宋体"/>
          <w:b/>
          <w:spacing w:val="180"/>
          <w:sz w:val="48"/>
        </w:rPr>
        <w:t>技术服务合同</w:t>
      </w:r>
      <w:bookmarkEnd w:id="160"/>
      <w:r>
        <w:rPr>
          <w:rFonts w:hint="eastAsia" w:hAnsi="标宋体" w:eastAsia="标宋体" w:cs="标宋体"/>
          <w:b/>
          <w:spacing w:val="180"/>
          <w:sz w:val="48"/>
        </w:rPr>
        <w:tab/>
      </w:r>
    </w:p>
    <w:p>
      <w:pPr>
        <w:jc w:val="center"/>
        <w:outlineLvl w:val="0"/>
        <w:rPr>
          <w:rFonts w:cs="宋体"/>
          <w:sz w:val="30"/>
        </w:rPr>
      </w:pPr>
      <w:bookmarkStart w:id="161" w:name="_Toc16088"/>
      <w:r>
        <w:rPr>
          <w:rFonts w:hint="eastAsia" w:cs="宋体"/>
          <w:sz w:val="30"/>
        </w:rPr>
        <w:t>（含技术培训、技术中介）</w:t>
      </w:r>
      <w:bookmarkEnd w:id="161"/>
    </w:p>
    <w:p>
      <w:pPr>
        <w:jc w:val="center"/>
        <w:rPr>
          <w:rFonts w:cs="宋体"/>
          <w:sz w:val="30"/>
        </w:rPr>
      </w:pPr>
    </w:p>
    <w:p>
      <w:pPr>
        <w:ind w:left="1500" w:hanging="1500" w:hangingChars="500"/>
        <w:jc w:val="left"/>
        <w:rPr>
          <w:sz w:val="30"/>
          <w:u w:val="single"/>
        </w:rPr>
      </w:pPr>
      <w:r>
        <w:rPr>
          <w:rFonts w:hint="eastAsia" w:cs="宋体"/>
          <w:sz w:val="30"/>
        </w:rPr>
        <w:t>项目名称：</w:t>
      </w:r>
      <w:r>
        <w:rPr>
          <w:rFonts w:ascii="黑体" w:hAnsi="黑体" w:eastAsia="黑体" w:cs="黑体"/>
          <w:sz w:val="32"/>
          <w:szCs w:val="32"/>
          <w:u w:val="single"/>
        </w:rPr>
        <w:t>2020年</w:t>
      </w:r>
      <w:r>
        <w:rPr>
          <w:rFonts w:hint="eastAsia" w:ascii="黑体" w:hAnsi="黑体" w:eastAsia="黑体" w:cs="黑体"/>
          <w:sz w:val="32"/>
          <w:szCs w:val="32"/>
          <w:u w:val="single"/>
        </w:rPr>
        <w:t>安徽</w:t>
      </w:r>
      <w:r>
        <w:rPr>
          <w:rFonts w:ascii="黑体" w:hAnsi="黑体" w:eastAsia="黑体" w:cs="黑体"/>
          <w:sz w:val="32"/>
          <w:szCs w:val="32"/>
          <w:u w:val="single"/>
        </w:rPr>
        <w:t>省国家地下水监测工程（水利部分）监测系统运行维护和地下水水质监测项目</w:t>
      </w:r>
    </w:p>
    <w:p>
      <w:pPr>
        <w:spacing w:before="360" w:line="360" w:lineRule="exact"/>
        <w:rPr>
          <w:sz w:val="30"/>
        </w:rPr>
      </w:pPr>
      <w:r>
        <w:rPr>
          <w:rFonts w:hint="eastAsia" w:cs="宋体"/>
          <w:sz w:val="30"/>
        </w:rPr>
        <w:t>委托人：</w:t>
      </w:r>
    </w:p>
    <w:p>
      <w:pPr>
        <w:spacing w:line="360" w:lineRule="exact"/>
        <w:rPr>
          <w:sz w:val="30"/>
        </w:rPr>
      </w:pPr>
      <w:r>
        <w:pict>
          <v:line id="_x0000_s1026" o:spid="_x0000_s1026" o:spt="20" style="position:absolute;left:0pt;margin-left:70pt;margin-top:16.4pt;height:0.05pt;width:261pt;z-index:251659264;mso-width-relative:page;mso-height-relative:page;" coordsize="21600,21600" o:allowincell="f" o:gfxdata="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xlA5TVAAAACQEAAA8AAAAAAAAAAQAgAAAAIgAA&#10;AGRycy9kb3ducmV2LnhtbFBLAQIUABQAAAAIAIdO4kAX0Gei0gEAAIwDAAAOAAAAAAAAAAEAIAAA&#10;ACQBAABkcnMvZTJvRG9jLnhtbFBLBQYAAAAABgAGAFkBAABoBQAAAAA=&#10;">
            <v:path arrowok="t"/>
            <v:fill focussize="0,0"/>
            <v:stroke/>
            <v:imagedata o:title=""/>
            <o:lock v:ext="edit"/>
          </v:line>
        </w:pict>
      </w:r>
      <w:r>
        <w:rPr>
          <w:rFonts w:hint="eastAsia" w:cs="宋体"/>
          <w:sz w:val="30"/>
        </w:rPr>
        <w:t>（甲方）</w:t>
      </w:r>
    </w:p>
    <w:p>
      <w:pPr>
        <w:spacing w:before="360" w:line="400" w:lineRule="exact"/>
        <w:rPr>
          <w:sz w:val="30"/>
        </w:rPr>
      </w:pPr>
      <w:r>
        <w:rPr>
          <w:rFonts w:hint="eastAsia" w:cs="宋体"/>
          <w:sz w:val="30"/>
        </w:rPr>
        <w:t>受托人：</w:t>
      </w:r>
    </w:p>
    <w:p>
      <w:pPr>
        <w:spacing w:line="360" w:lineRule="exact"/>
        <w:rPr>
          <w:sz w:val="30"/>
        </w:rPr>
      </w:pPr>
      <w:r>
        <w:pict>
          <v:line id="_x0000_s1027" o:spid="_x0000_s1027" o:spt="20" style="position:absolute;left:0pt;margin-left:70pt;margin-top:14.4pt;height:0.05pt;width:261pt;z-index:251660288;mso-width-relative:page;mso-height-relative:page;" coordsize="21600,21600" o:allowincell="f" o:gfxdata="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8+c9fVAAAACQEAAA8AAAAAAAAAAQAgAAAAIgAA&#10;AGRycy9kb3ducmV2LnhtbFBLAQIUABQAAAAIAIdO4kCc5iDB0gEAAIwDAAAOAAAAAAAAAAEAIAAA&#10;ACQBAABkcnMvZTJvRG9jLnhtbFBLBQYAAAAABgAGAFkBAABoBQAAAAA=&#10;">
            <v:path arrowok="t"/>
            <v:fill focussize="0,0"/>
            <v:stroke/>
            <v:imagedata o:title=""/>
            <o:lock v:ext="edit"/>
          </v:line>
        </w:pict>
      </w:r>
      <w:r>
        <w:rPr>
          <w:rFonts w:hint="eastAsia" w:cs="宋体"/>
          <w:sz w:val="30"/>
        </w:rPr>
        <w:t>（乙方）</w:t>
      </w:r>
    </w:p>
    <w:p>
      <w:pPr>
        <w:rPr>
          <w:sz w:val="28"/>
        </w:rPr>
      </w:pPr>
    </w:p>
    <w:p>
      <w:pPr>
        <w:rPr>
          <w:sz w:val="28"/>
        </w:rPr>
      </w:pPr>
    </w:p>
    <w:p>
      <w:pPr>
        <w:rPr>
          <w:sz w:val="28"/>
        </w:rPr>
      </w:pPr>
    </w:p>
    <w:p>
      <w:pPr>
        <w:rPr>
          <w:sz w:val="28"/>
        </w:rPr>
      </w:pPr>
    </w:p>
    <w:p>
      <w:pPr>
        <w:rPr>
          <w:sz w:val="28"/>
        </w:rPr>
      </w:pPr>
    </w:p>
    <w:p>
      <w:pPr>
        <w:spacing w:line="440" w:lineRule="exact"/>
        <w:rPr>
          <w:sz w:val="30"/>
        </w:rPr>
      </w:pPr>
      <w:r>
        <w:rPr>
          <w:rFonts w:hint="eastAsia" w:cs="宋体"/>
          <w:sz w:val="30"/>
        </w:rPr>
        <w:t>签订地点：</w:t>
      </w:r>
      <w:r>
        <w:rPr>
          <w:rFonts w:hint="eastAsia"/>
          <w:sz w:val="30"/>
        </w:rPr>
        <w:t>　　　</w:t>
      </w:r>
      <w:r>
        <w:rPr>
          <w:rFonts w:hint="eastAsia" w:cs="宋体"/>
          <w:sz w:val="30"/>
        </w:rPr>
        <w:t>省（市）市、县（区）</w:t>
      </w:r>
    </w:p>
    <w:p>
      <w:pPr>
        <w:spacing w:line="440" w:lineRule="exact"/>
        <w:rPr>
          <w:sz w:val="30"/>
        </w:rPr>
      </w:pPr>
      <w:r>
        <w:rPr>
          <w:rFonts w:hint="eastAsia" w:cs="宋体"/>
          <w:sz w:val="30"/>
        </w:rPr>
        <w:t>签订日期：　　　年月日</w:t>
      </w:r>
    </w:p>
    <w:p>
      <w:pPr>
        <w:spacing w:line="440" w:lineRule="exact"/>
        <w:rPr>
          <w:sz w:val="30"/>
        </w:rPr>
      </w:pPr>
      <w:r>
        <w:rPr>
          <w:rFonts w:hint="eastAsia" w:cs="宋体"/>
          <w:sz w:val="30"/>
        </w:rPr>
        <w:t>有效期限：　　　年月日至　　　年月日</w:t>
      </w:r>
    </w:p>
    <w:p/>
    <w:p/>
    <w:p>
      <w:pPr>
        <w:rPr>
          <w:rFonts w:ascii="宋体" w:hAnsi="宋体"/>
          <w:sz w:val="24"/>
        </w:rPr>
      </w:pPr>
    </w:p>
    <w:p/>
    <w:p/>
    <w:p/>
    <w:p/>
    <w:p>
      <w:pPr>
        <w:jc w:val="center"/>
        <w:outlineLvl w:val="0"/>
        <w:rPr>
          <w:rFonts w:eastAsia="楷体_GB2312" w:cs="楷体_GB2312"/>
          <w:spacing w:val="60"/>
          <w:sz w:val="30"/>
        </w:rPr>
      </w:pPr>
      <w:bookmarkStart w:id="162" w:name="_Toc11019"/>
      <w:r>
        <w:rPr>
          <w:rFonts w:hint="eastAsia" w:eastAsia="楷体_GB2312" w:cs="楷体_GB2312"/>
          <w:spacing w:val="60"/>
          <w:sz w:val="30"/>
        </w:rPr>
        <w:t>水利部信息中心</w:t>
      </w:r>
      <w:bookmarkEnd w:id="162"/>
    </w:p>
    <w:p>
      <w:pPr>
        <w:jc w:val="center"/>
        <w:rPr>
          <w:rFonts w:eastAsia="楷体_GB2312" w:cs="楷体_GB2312"/>
          <w:spacing w:val="60"/>
          <w:sz w:val="30"/>
        </w:rPr>
      </w:pPr>
    </w:p>
    <w:p>
      <w:pPr>
        <w:jc w:val="center"/>
        <w:rPr>
          <w:rFonts w:eastAsia="楷体_GB2312" w:cs="楷体_GB2312"/>
          <w:spacing w:val="60"/>
          <w:sz w:val="30"/>
        </w:rPr>
      </w:pPr>
    </w:p>
    <w:p>
      <w:pPr>
        <w:adjustRightInd w:val="0"/>
        <w:snapToGrid w:val="0"/>
        <w:spacing w:line="600" w:lineRule="atLeast"/>
        <w:jc w:val="center"/>
        <w:outlineLvl w:val="0"/>
        <w:rPr>
          <w:rFonts w:eastAsia="黑体"/>
          <w:b/>
          <w:sz w:val="32"/>
        </w:rPr>
      </w:pPr>
      <w:bookmarkStart w:id="163" w:name="_Toc8009"/>
      <w:r>
        <w:rPr>
          <w:rFonts w:hint="eastAsia" w:eastAsia="黑体" w:cs="黑体"/>
          <w:b/>
          <w:sz w:val="32"/>
        </w:rPr>
        <w:t>填　表　说　明</w:t>
      </w:r>
      <w:bookmarkEnd w:id="163"/>
    </w:p>
    <w:p>
      <w:pPr>
        <w:adjustRightInd w:val="0"/>
        <w:snapToGrid w:val="0"/>
        <w:spacing w:line="600" w:lineRule="atLeast"/>
        <w:jc w:val="center"/>
        <w:rPr>
          <w:rFonts w:eastAsia="黑体"/>
          <w:b/>
          <w:sz w:val="32"/>
        </w:rPr>
      </w:pPr>
    </w:p>
    <w:p>
      <w:pPr>
        <w:adjustRightInd w:val="0"/>
        <w:snapToGrid w:val="0"/>
        <w:spacing w:line="600" w:lineRule="atLeast"/>
        <w:ind w:firstLine="567"/>
        <w:rPr>
          <w:sz w:val="28"/>
        </w:rPr>
      </w:pPr>
      <w:r>
        <w:rPr>
          <w:rFonts w:hint="eastAsia" w:cs="宋体"/>
          <w:sz w:val="28"/>
        </w:rPr>
        <w:t>一、“合同登记编号”由技术合同登记处填写。</w:t>
      </w:r>
    </w:p>
    <w:p>
      <w:pPr>
        <w:adjustRightInd w:val="0"/>
        <w:snapToGrid w:val="0"/>
        <w:spacing w:line="600" w:lineRule="atLeast"/>
        <w:ind w:firstLine="567"/>
        <w:rPr>
          <w:sz w:val="28"/>
        </w:rPr>
      </w:pPr>
      <w:r>
        <w:rPr>
          <w:rFonts w:hint="eastAsia" w:cs="宋体"/>
          <w:sz w:val="28"/>
        </w:rPr>
        <w:t>二、技术服务合同是指当事人一方以技术知识为另一方解决特定技术问题所订立的合同。</w:t>
      </w:r>
    </w:p>
    <w:p>
      <w:pPr>
        <w:adjustRightInd w:val="0"/>
        <w:snapToGrid w:val="0"/>
        <w:spacing w:line="600" w:lineRule="atLeast"/>
        <w:ind w:firstLine="567"/>
        <w:rPr>
          <w:sz w:val="28"/>
        </w:rPr>
      </w:pPr>
      <w:r>
        <w:rPr>
          <w:rFonts w:hint="eastAsia" w:cs="宋体"/>
          <w:sz w:val="28"/>
        </w:rPr>
        <w:t>技术培训合同是指当事人一方委托另一方指定的专业技术人员进行特定项目的技术指导和专业训练所订立的合同。</w:t>
      </w:r>
    </w:p>
    <w:p>
      <w:pPr>
        <w:adjustRightInd w:val="0"/>
        <w:snapToGrid w:val="0"/>
        <w:spacing w:line="600" w:lineRule="atLeast"/>
        <w:ind w:firstLine="567"/>
        <w:rPr>
          <w:sz w:val="28"/>
        </w:rPr>
      </w:pPr>
      <w:r>
        <w:rPr>
          <w:rFonts w:hint="eastAsia" w:cs="宋体"/>
          <w:sz w:val="28"/>
        </w:rPr>
        <w:t>技术中介合同是指当事人一方以知识、技术、经验和信息为另一方与第三方订立技术合同进行联系、介绍、组织工业化开发并对履行合同提供服务所订立的合同。</w:t>
      </w:r>
    </w:p>
    <w:p>
      <w:pPr>
        <w:adjustRightInd w:val="0"/>
        <w:snapToGrid w:val="0"/>
        <w:spacing w:line="600" w:lineRule="atLeast"/>
        <w:ind w:firstLine="567"/>
        <w:rPr>
          <w:sz w:val="28"/>
        </w:rPr>
      </w:pPr>
      <w:r>
        <w:rPr>
          <w:rFonts w:hint="eastAsia" w:cs="宋体"/>
          <w:sz w:val="28"/>
        </w:rPr>
        <w:t>三、计划内项目应填写国务院部委、省、自治区、直辖市、计划单列市、地、市</w:t>
      </w:r>
      <w:r>
        <w:rPr>
          <w:sz w:val="28"/>
        </w:rPr>
        <w:t>(</w:t>
      </w:r>
      <w:r>
        <w:rPr>
          <w:rFonts w:hint="eastAsia" w:cs="宋体"/>
          <w:sz w:val="28"/>
        </w:rPr>
        <w:t>县</w:t>
      </w:r>
      <w:r>
        <w:rPr>
          <w:sz w:val="28"/>
        </w:rPr>
        <w:t>)</w:t>
      </w:r>
      <w:r>
        <w:rPr>
          <w:rFonts w:hint="eastAsia" w:cs="宋体"/>
          <w:sz w:val="28"/>
        </w:rPr>
        <w:t>级计划。不属于上述计划的项目此栏划</w:t>
      </w:r>
      <w:r>
        <w:rPr>
          <w:sz w:val="28"/>
        </w:rPr>
        <w:t>(/)</w:t>
      </w:r>
      <w:r>
        <w:rPr>
          <w:rFonts w:hint="eastAsia" w:cs="宋体"/>
          <w:sz w:val="28"/>
        </w:rPr>
        <w:t>表示。</w:t>
      </w:r>
    </w:p>
    <w:p>
      <w:pPr>
        <w:adjustRightInd w:val="0"/>
        <w:snapToGrid w:val="0"/>
        <w:spacing w:line="600" w:lineRule="atLeast"/>
        <w:ind w:firstLine="567"/>
        <w:rPr>
          <w:sz w:val="28"/>
        </w:rPr>
      </w:pPr>
      <w:r>
        <w:rPr>
          <w:rFonts w:hint="eastAsia" w:cs="宋体"/>
          <w:sz w:val="28"/>
        </w:rPr>
        <w:t>四、服务内容、方式和要求</w:t>
      </w:r>
    </w:p>
    <w:p>
      <w:pPr>
        <w:adjustRightInd w:val="0"/>
        <w:snapToGrid w:val="0"/>
        <w:spacing w:line="600" w:lineRule="atLeast"/>
        <w:ind w:firstLine="567"/>
        <w:rPr>
          <w:sz w:val="28"/>
        </w:rPr>
      </w:pPr>
      <w:r>
        <w:rPr>
          <w:rFonts w:hint="eastAsia" w:cs="宋体"/>
          <w:sz w:val="28"/>
        </w:rPr>
        <w:t>属技术服务，此条款填写特定技术问题的难度和范围，主要技术经济指标及效益情况，具体的做法、手段、程序以及交付成果的形式。</w:t>
      </w:r>
    </w:p>
    <w:p>
      <w:pPr>
        <w:adjustRightInd w:val="0"/>
        <w:snapToGrid w:val="0"/>
        <w:spacing w:line="600" w:lineRule="atLeast"/>
        <w:ind w:firstLine="567"/>
        <w:rPr>
          <w:sz w:val="28"/>
        </w:rPr>
      </w:pPr>
      <w:r>
        <w:rPr>
          <w:rFonts w:hint="eastAsia" w:cs="宋体"/>
          <w:sz w:val="28"/>
        </w:rPr>
        <w:t>属技术培训，此条款填写培训内容和要求，以及培训计划、进度。</w:t>
      </w:r>
    </w:p>
    <w:p>
      <w:pPr>
        <w:adjustRightInd w:val="0"/>
        <w:snapToGrid w:val="0"/>
        <w:spacing w:line="600" w:lineRule="atLeast"/>
        <w:ind w:firstLine="567"/>
        <w:rPr>
          <w:sz w:val="28"/>
        </w:rPr>
      </w:pPr>
      <w:r>
        <w:rPr>
          <w:rFonts w:hint="eastAsia" w:cs="宋体"/>
          <w:sz w:val="28"/>
        </w:rPr>
        <w:t>属技术中介，此条款填写中介内容的要求。</w:t>
      </w:r>
    </w:p>
    <w:p>
      <w:pPr>
        <w:adjustRightInd w:val="0"/>
        <w:snapToGrid w:val="0"/>
        <w:spacing w:line="600" w:lineRule="atLeast"/>
        <w:ind w:firstLine="567"/>
        <w:rPr>
          <w:sz w:val="28"/>
        </w:rPr>
      </w:pPr>
      <w:r>
        <w:rPr>
          <w:rFonts w:hint="eastAsia" w:cs="宋体"/>
          <w:sz w:val="28"/>
        </w:rPr>
        <w:t>五、工作条件和协作事项</w:t>
      </w:r>
    </w:p>
    <w:p>
      <w:pPr>
        <w:adjustRightInd w:val="0"/>
        <w:snapToGrid w:val="0"/>
        <w:spacing w:line="600" w:lineRule="atLeast"/>
        <w:ind w:firstLine="567"/>
        <w:rPr>
          <w:sz w:val="28"/>
        </w:rPr>
      </w:pPr>
      <w:r>
        <w:rPr>
          <w:rFonts w:hint="eastAsia" w:cs="宋体"/>
          <w:sz w:val="28"/>
        </w:rPr>
        <w:t>包括甲方为乙方提供的资料、文件及其它条件，双方协作的具体事项。</w:t>
      </w:r>
    </w:p>
    <w:p>
      <w:pPr>
        <w:numPr>
          <w:ilvl w:val="0"/>
          <w:numId w:val="6"/>
        </w:numPr>
        <w:adjustRightInd w:val="0"/>
        <w:snapToGrid w:val="0"/>
        <w:spacing w:line="600" w:lineRule="atLeast"/>
        <w:ind w:firstLine="567"/>
        <w:rPr>
          <w:rFonts w:cs="宋体"/>
          <w:sz w:val="28"/>
        </w:rPr>
      </w:pPr>
      <w:r>
        <w:rPr>
          <w:rFonts w:hint="eastAsia" w:cs="宋体"/>
          <w:sz w:val="28"/>
        </w:rPr>
        <w:t>本合同书中，凡是当事人约定认为无需填写的条款，在该条款填写的空白处划（</w:t>
      </w:r>
      <w:r>
        <w:rPr>
          <w:sz w:val="28"/>
        </w:rPr>
        <w:t>/</w:t>
      </w:r>
      <w:r>
        <w:rPr>
          <w:rFonts w:hint="eastAsia" w:cs="宋体"/>
          <w:sz w:val="28"/>
        </w:rPr>
        <w:t>）表示。</w:t>
      </w:r>
    </w:p>
    <w:p>
      <w:pPr>
        <w:pStyle w:val="2"/>
        <w:ind w:firstLine="480"/>
      </w:pPr>
      <w:r>
        <w:rPr>
          <w:rFonts w:hint="eastAsia" w:ascii="宋体" w:hAnsi="宋体"/>
          <w:color w:val="000000" w:themeColor="text1"/>
          <w:sz w:val="24"/>
        </w:rPr>
        <w:t>注意：如为联合体中标，需要中标牵头单位及成员单位同时签字盖章。</w:t>
      </w:r>
    </w:p>
    <w:p>
      <w:pPr>
        <w:rPr>
          <w:rFonts w:cs="宋体"/>
          <w:sz w:val="28"/>
        </w:rPr>
      </w:pPr>
    </w:p>
    <w:p>
      <w:pPr>
        <w:jc w:val="center"/>
        <w:rPr>
          <w:rFonts w:ascii="宋体" w:hAnsi="宋体"/>
          <w:b/>
          <w:sz w:val="28"/>
          <w:szCs w:val="28"/>
        </w:rPr>
      </w:pPr>
    </w:p>
    <w:tbl>
      <w:tblPr>
        <w:tblStyle w:val="41"/>
        <w:tblW w:w="936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869"/>
        <w:gridCol w:w="1339"/>
        <w:gridCol w:w="781"/>
        <w:gridCol w:w="797"/>
        <w:gridCol w:w="1200"/>
        <w:gridCol w:w="2561"/>
        <w:gridCol w:w="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1" w:type="dxa"/>
          <w:trHeight w:val="13850" w:hRule="atLeast"/>
        </w:trPr>
        <w:tc>
          <w:tcPr>
            <w:tcW w:w="9179" w:type="dxa"/>
            <w:gridSpan w:val="7"/>
            <w:tcBorders>
              <w:top w:val="single" w:color="auto" w:sz="4" w:space="0"/>
              <w:left w:val="single" w:color="auto" w:sz="4" w:space="0"/>
              <w:bottom w:val="single" w:color="auto" w:sz="4" w:space="0"/>
              <w:right w:val="single" w:color="auto" w:sz="4" w:space="0"/>
            </w:tcBorders>
          </w:tcPr>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依据《中华人民共和国合同法》的规定，合同双方就</w:t>
            </w:r>
            <w:r>
              <w:rPr>
                <w:rFonts w:hint="eastAsia" w:ascii="宋体" w:hAnsi="宋体" w:cs="华文仿宋"/>
                <w:bCs/>
                <w:sz w:val="28"/>
                <w:szCs w:val="28"/>
                <w:u w:val="single"/>
              </w:rPr>
              <w:t>2020年安徽省国家地下水监测工程（水利部分）监测系统运行维护和地下水水质监测</w:t>
            </w:r>
            <w:r>
              <w:rPr>
                <w:rFonts w:hint="eastAsia" w:ascii="宋体" w:hAnsi="宋体" w:cs="华文仿宋"/>
                <w:sz w:val="28"/>
                <w:szCs w:val="28"/>
              </w:rPr>
              <w:t>项目，经协商一致，签订本合同。</w:t>
            </w:r>
          </w:p>
          <w:p>
            <w:pPr>
              <w:tabs>
                <w:tab w:val="left" w:pos="1220"/>
              </w:tabs>
              <w:spacing w:line="360" w:lineRule="auto"/>
              <w:ind w:firstLine="562" w:firstLineChars="200"/>
              <w:jc w:val="left"/>
              <w:rPr>
                <w:rFonts w:ascii="宋体" w:hAnsi="宋体" w:cs="华文仿宋"/>
                <w:b/>
                <w:bCs/>
                <w:sz w:val="28"/>
                <w:szCs w:val="28"/>
              </w:rPr>
            </w:pPr>
            <w:r>
              <w:rPr>
                <w:rFonts w:hint="eastAsia" w:ascii="宋体" w:hAnsi="宋体" w:cs="华文仿宋"/>
                <w:b/>
                <w:bCs/>
                <w:sz w:val="28"/>
                <w:szCs w:val="28"/>
              </w:rPr>
              <w:t>一、服务内容、方式和要求</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（一）技术服务内容：</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个地下水监测站</w:t>
            </w:r>
            <w:r>
              <w:rPr>
                <w:rFonts w:hint="eastAsia" w:asciiTheme="minorEastAsia" w:hAnsiTheme="minorEastAsia" w:eastAsiaTheme="minorEastAsia"/>
                <w:color w:val="000000" w:themeColor="text1"/>
                <w:sz w:val="28"/>
                <w:szCs w:val="28"/>
              </w:rPr>
              <w:t>全年信息报送。</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2、390个地下水监测站设施设备看护</w:t>
            </w:r>
            <w:r>
              <w:rPr>
                <w:rFonts w:asciiTheme="minorEastAsia" w:hAnsiTheme="minorEastAsia" w:eastAsiaTheme="minorEastAsia"/>
                <w:color w:val="000000" w:themeColor="text1"/>
                <w:sz w:val="28"/>
                <w:szCs w:val="28"/>
              </w:rPr>
              <w:t>。</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个地下水监测站自动监测仪器现场校测</w:t>
            </w:r>
            <w:r>
              <w:rPr>
                <w:rFonts w:hint="eastAsia" w:asciiTheme="minorEastAsia" w:hAnsiTheme="minorEastAsia" w:eastAsiaTheme="minorEastAsia"/>
                <w:color w:val="000000" w:themeColor="text1"/>
                <w:sz w:val="28"/>
                <w:szCs w:val="28"/>
              </w:rPr>
              <w:t>（含井深测量）</w:t>
            </w:r>
            <w:r>
              <w:rPr>
                <w:rFonts w:asciiTheme="minorEastAsia" w:hAnsiTheme="minorEastAsia" w:eastAsiaTheme="minorEastAsia"/>
                <w:color w:val="000000" w:themeColor="text1"/>
                <w:sz w:val="28"/>
                <w:szCs w:val="28"/>
              </w:rPr>
              <w:t>。</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4、4个水质自动站监测仪器校测。</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个监测站自动监测仪器</w:t>
            </w:r>
            <w:r>
              <w:rPr>
                <w:rFonts w:hint="eastAsia" w:asciiTheme="minorEastAsia" w:hAnsiTheme="minorEastAsia" w:eastAsiaTheme="minorEastAsia"/>
                <w:color w:val="000000" w:themeColor="text1"/>
                <w:sz w:val="28"/>
                <w:szCs w:val="28"/>
              </w:rPr>
              <w:t>通信保障和</w:t>
            </w:r>
            <w:r>
              <w:rPr>
                <w:rFonts w:asciiTheme="minorEastAsia" w:hAnsiTheme="minorEastAsia" w:eastAsiaTheme="minorEastAsia"/>
                <w:color w:val="000000" w:themeColor="text1"/>
                <w:sz w:val="28"/>
                <w:szCs w:val="28"/>
              </w:rPr>
              <w:t>故障处理。</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6、井口保护装置等附属设施养护维护。</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390个监测站2019年度地下水资料整编与刊印。</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w:t>
            </w:r>
            <w:r>
              <w:rPr>
                <w:rFonts w:asciiTheme="minorEastAsia" w:hAnsiTheme="minorEastAsia" w:eastAsiaTheme="minorEastAsia"/>
                <w:color w:val="000000" w:themeColor="text1"/>
                <w:sz w:val="28"/>
                <w:szCs w:val="28"/>
              </w:rPr>
              <w:t>、省市地下水监测中心</w:t>
            </w:r>
            <w:r>
              <w:rPr>
                <w:rFonts w:hint="eastAsia" w:asciiTheme="minorEastAsia" w:hAnsiTheme="minorEastAsia" w:eastAsiaTheme="minorEastAsia"/>
                <w:color w:val="000000" w:themeColor="text1"/>
                <w:sz w:val="28"/>
                <w:szCs w:val="28"/>
              </w:rPr>
              <w:t>系统运行维护。</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9</w:t>
            </w:r>
            <w:r>
              <w:rPr>
                <w:rFonts w:asciiTheme="minorEastAsia" w:hAnsiTheme="minorEastAsia" w:eastAsiaTheme="minorEastAsia"/>
                <w:color w:val="000000" w:themeColor="text1"/>
                <w:sz w:val="28"/>
                <w:szCs w:val="28"/>
              </w:rPr>
              <w:t>、监测站自动监测设备故障处理技术支持。</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10、提供省中心管理、市（地）分中心管理及故障处理所需交通工具及自动监测设备维护相应的备品备件。</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11、314个监测站采样前抽水等准备工作。</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314</w:t>
            </w:r>
            <w:r>
              <w:rPr>
                <w:rFonts w:asciiTheme="minorEastAsia" w:hAnsiTheme="minorEastAsia" w:eastAsiaTheme="minorEastAsia"/>
                <w:color w:val="000000" w:themeColor="text1"/>
                <w:sz w:val="28"/>
                <w:szCs w:val="28"/>
              </w:rPr>
              <w:t>个监测站</w:t>
            </w:r>
            <w:r>
              <w:rPr>
                <w:rFonts w:hint="eastAsia" w:asciiTheme="minorEastAsia" w:hAnsiTheme="minorEastAsia" w:eastAsiaTheme="minorEastAsia"/>
                <w:color w:val="000000" w:themeColor="text1"/>
                <w:sz w:val="28"/>
                <w:szCs w:val="28"/>
              </w:rPr>
              <w:t>42</w:t>
            </w:r>
            <w:r>
              <w:rPr>
                <w:rFonts w:asciiTheme="minorEastAsia" w:hAnsiTheme="minorEastAsia" w:eastAsiaTheme="minorEastAsia"/>
                <w:color w:val="000000" w:themeColor="text1"/>
                <w:sz w:val="28"/>
                <w:szCs w:val="28"/>
              </w:rPr>
              <w:t>项、</w:t>
            </w:r>
            <w:r>
              <w:rPr>
                <w:rFonts w:hint="eastAsia" w:asciiTheme="minorEastAsia" w:hAnsiTheme="minorEastAsia" w:eastAsiaTheme="minorEastAsia"/>
                <w:color w:val="000000" w:themeColor="text1"/>
                <w:sz w:val="28"/>
                <w:szCs w:val="28"/>
              </w:rPr>
              <w:t>8个同步监测站</w:t>
            </w:r>
            <w:r>
              <w:rPr>
                <w:rFonts w:asciiTheme="minorEastAsia" w:hAnsiTheme="minorEastAsia" w:eastAsiaTheme="minorEastAsia"/>
                <w:color w:val="000000" w:themeColor="text1"/>
                <w:sz w:val="28"/>
                <w:szCs w:val="28"/>
              </w:rPr>
              <w:t>93项的水质采样。</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13</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314</w:t>
            </w:r>
            <w:r>
              <w:rPr>
                <w:rFonts w:asciiTheme="minorEastAsia" w:hAnsiTheme="minorEastAsia" w:eastAsiaTheme="minorEastAsia"/>
                <w:color w:val="000000" w:themeColor="text1"/>
                <w:sz w:val="28"/>
                <w:szCs w:val="28"/>
              </w:rPr>
              <w:t>个监测站</w:t>
            </w:r>
            <w:r>
              <w:rPr>
                <w:rFonts w:hint="eastAsia" w:asciiTheme="minorEastAsia" w:hAnsiTheme="minorEastAsia" w:eastAsiaTheme="minorEastAsia"/>
                <w:color w:val="000000" w:themeColor="text1"/>
                <w:sz w:val="28"/>
                <w:szCs w:val="28"/>
              </w:rPr>
              <w:t>42</w:t>
            </w:r>
            <w:r>
              <w:rPr>
                <w:rFonts w:asciiTheme="minorEastAsia" w:hAnsiTheme="minorEastAsia" w:eastAsiaTheme="minorEastAsia"/>
                <w:color w:val="000000" w:themeColor="text1"/>
                <w:sz w:val="28"/>
                <w:szCs w:val="28"/>
              </w:rPr>
              <w:t>项、8个同步监测站</w:t>
            </w:r>
            <w:r>
              <w:rPr>
                <w:rFonts w:hint="eastAsia" w:asciiTheme="minorEastAsia" w:hAnsiTheme="minorEastAsia" w:eastAsiaTheme="minorEastAsia"/>
                <w:color w:val="000000" w:themeColor="text1"/>
                <w:sz w:val="28"/>
                <w:szCs w:val="28"/>
              </w:rPr>
              <w:t>水样运输（运送、寄送）。</w:t>
            </w:r>
          </w:p>
          <w:p>
            <w:pPr>
              <w:spacing w:line="360" w:lineRule="auto"/>
              <w:ind w:firstLine="560" w:firstLineChars="200"/>
              <w:rPr>
                <w:rStyle w:val="44"/>
                <w:rFonts w:asciiTheme="minorEastAsia" w:hAnsiTheme="minorEastAsia" w:eastAsiaTheme="minorEastAsia"/>
                <w:b w:val="0"/>
                <w:bCs w:val="0"/>
                <w:sz w:val="28"/>
                <w:szCs w:val="28"/>
              </w:rPr>
            </w:pPr>
            <w:r>
              <w:rPr>
                <w:rFonts w:asciiTheme="minorEastAsia" w:hAnsiTheme="minorEastAsia" w:eastAsiaTheme="minorEastAsia"/>
                <w:color w:val="000000" w:themeColor="text1"/>
                <w:sz w:val="28"/>
                <w:szCs w:val="28"/>
              </w:rPr>
              <w:t>14、</w:t>
            </w:r>
            <w:r>
              <w:rPr>
                <w:rFonts w:hint="eastAsia" w:asciiTheme="minorEastAsia" w:hAnsiTheme="minorEastAsia" w:eastAsiaTheme="minorEastAsia"/>
                <w:color w:val="000000" w:themeColor="text1"/>
                <w:sz w:val="28"/>
                <w:szCs w:val="28"/>
              </w:rPr>
              <w:t>314</w:t>
            </w:r>
            <w:r>
              <w:rPr>
                <w:rFonts w:asciiTheme="minorEastAsia" w:hAnsiTheme="minorEastAsia" w:eastAsiaTheme="minorEastAsia"/>
                <w:color w:val="000000" w:themeColor="text1"/>
                <w:sz w:val="28"/>
                <w:szCs w:val="28"/>
              </w:rPr>
              <w:t>个水质样品进行</w:t>
            </w:r>
            <w:r>
              <w:rPr>
                <w:rFonts w:hint="eastAsia" w:asciiTheme="minorEastAsia" w:hAnsiTheme="minorEastAsia" w:eastAsiaTheme="minorEastAsia"/>
                <w:color w:val="000000" w:themeColor="text1"/>
                <w:sz w:val="28"/>
                <w:szCs w:val="28"/>
              </w:rPr>
              <w:t>1</w:t>
            </w:r>
            <w:r>
              <w:rPr>
                <w:rFonts w:asciiTheme="minorEastAsia" w:hAnsiTheme="minorEastAsia" w:eastAsiaTheme="minorEastAsia"/>
                <w:color w:val="000000" w:themeColor="text1"/>
                <w:sz w:val="28"/>
                <w:szCs w:val="28"/>
              </w:rPr>
              <w:t>次</w:t>
            </w:r>
            <w:r>
              <w:rPr>
                <w:rFonts w:hint="eastAsia" w:asciiTheme="minorEastAsia" w:hAnsiTheme="minorEastAsia" w:eastAsiaTheme="minorEastAsia"/>
                <w:color w:val="000000" w:themeColor="text1"/>
                <w:sz w:val="28"/>
                <w:szCs w:val="28"/>
              </w:rPr>
              <w:t>42</w:t>
            </w:r>
            <w:r>
              <w:rPr>
                <w:rFonts w:asciiTheme="minorEastAsia" w:hAnsiTheme="minorEastAsia" w:eastAsiaTheme="minorEastAsia"/>
                <w:color w:val="000000" w:themeColor="text1"/>
                <w:sz w:val="28"/>
                <w:szCs w:val="28"/>
              </w:rPr>
              <w:t>项</w:t>
            </w:r>
            <w:r>
              <w:rPr>
                <w:rFonts w:hint="eastAsia" w:asciiTheme="minorEastAsia" w:hAnsiTheme="minorEastAsia" w:eastAsiaTheme="minorEastAsia"/>
                <w:color w:val="000000" w:themeColor="text1"/>
                <w:sz w:val="28"/>
                <w:szCs w:val="28"/>
              </w:rPr>
              <w:t>指标水质检测，并出具水质检测报告、</w:t>
            </w:r>
            <w:r>
              <w:rPr>
                <w:rFonts w:asciiTheme="minorEastAsia" w:hAnsiTheme="minorEastAsia" w:eastAsiaTheme="minorEastAsia"/>
                <w:color w:val="000000" w:themeColor="text1"/>
                <w:sz w:val="28"/>
                <w:szCs w:val="28"/>
              </w:rPr>
              <w:t>质控报告、水质分析评价报告，</w:t>
            </w:r>
            <w:r>
              <w:rPr>
                <w:rFonts w:hint="eastAsia" w:asciiTheme="minorEastAsia" w:hAnsiTheme="minorEastAsia" w:eastAsiaTheme="minorEastAsia"/>
                <w:color w:val="000000" w:themeColor="text1"/>
                <w:sz w:val="28"/>
                <w:szCs w:val="28"/>
              </w:rPr>
              <w:t>提供</w:t>
            </w:r>
            <w:r>
              <w:rPr>
                <w:rFonts w:asciiTheme="minorEastAsia" w:hAnsiTheme="minorEastAsia" w:eastAsiaTheme="minorEastAsia"/>
                <w:color w:val="000000" w:themeColor="text1"/>
                <w:sz w:val="28"/>
                <w:szCs w:val="28"/>
              </w:rPr>
              <w:t>水质监测数据汇总表</w:t>
            </w:r>
            <w:r>
              <w:rPr>
                <w:rFonts w:hint="eastAsia" w:asciiTheme="minorEastAsia" w:hAnsiTheme="minorEastAsia" w:eastAsiaTheme="minorEastAsia"/>
                <w:color w:val="000000" w:themeColor="text1"/>
                <w:sz w:val="28"/>
                <w:szCs w:val="28"/>
              </w:rPr>
              <w:t>等。</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（二）技术服务方式：</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甲方委托</w:t>
            </w:r>
            <w:r>
              <w:rPr>
                <w:rFonts w:hint="eastAsia" w:asciiTheme="minorEastAsia" w:hAnsiTheme="minorEastAsia" w:eastAsiaTheme="minorEastAsia"/>
                <w:b/>
                <w:color w:val="000000" w:themeColor="text1"/>
                <w:sz w:val="28"/>
                <w:szCs w:val="28"/>
                <w:u w:val="single"/>
              </w:rPr>
              <w:t>安徽省水文局</w:t>
            </w:r>
            <w:r>
              <w:rPr>
                <w:rFonts w:hint="eastAsia" w:ascii="宋体" w:hAnsi="宋体" w:cs="华文仿宋"/>
                <w:sz w:val="28"/>
                <w:szCs w:val="28"/>
              </w:rPr>
              <w:t>负责本合同执行情况监督管理，乙方承担技术服务。</w:t>
            </w:r>
          </w:p>
          <w:p>
            <w:pPr>
              <w:numPr>
                <w:ilvl w:val="0"/>
                <w:numId w:val="7"/>
              </w:numPr>
              <w:spacing w:line="360" w:lineRule="auto"/>
              <w:ind w:firstLine="560" w:firstLineChars="200"/>
              <w:jc w:val="left"/>
              <w:rPr>
                <w:rFonts w:ascii="宋体" w:hAnsi="宋体" w:cs="华文仿宋"/>
                <w:sz w:val="28"/>
                <w:szCs w:val="28"/>
              </w:rPr>
            </w:pPr>
            <w:r>
              <w:rPr>
                <w:rFonts w:hint="eastAsia" w:ascii="宋体" w:hAnsi="宋体" w:cs="华文仿宋"/>
                <w:sz w:val="28"/>
                <w:szCs w:val="28"/>
              </w:rPr>
              <w:t>技术服务达到的要求及考核验收的指标/标准：</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个地下水监测站</w:t>
            </w:r>
            <w:r>
              <w:rPr>
                <w:rFonts w:hint="eastAsia" w:asciiTheme="minorEastAsia" w:hAnsiTheme="minorEastAsia" w:eastAsiaTheme="minorEastAsia"/>
                <w:color w:val="000000" w:themeColor="text1"/>
                <w:sz w:val="28"/>
                <w:szCs w:val="28"/>
              </w:rPr>
              <w:t>全年信息报送：全年开展水位、水温监测信息报送，均采用“六采一发”方式，每日8时、12时、16时、20时、24时、次日4时采集监测要素，次日8时发报一次；自动监测仪器从监测站到省级节点的全年到报率、省级节点到中央节点信息交换率和完整率不低于95%；复核并及时更新监测站基础信息，确保高程等信息准确；全年运行维护量化考核评分不低于90分。</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2、390个地下水监测站设施设备看护，</w:t>
            </w:r>
            <w:r>
              <w:rPr>
                <w:rFonts w:asciiTheme="minorEastAsia" w:hAnsiTheme="minorEastAsia" w:eastAsiaTheme="minorEastAsia"/>
                <w:color w:val="000000" w:themeColor="text1"/>
                <w:sz w:val="28"/>
                <w:szCs w:val="28"/>
              </w:rPr>
              <w:t>保证监测站资产安全</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建立与看护人员沟通渠道，掌握监测站看护状况、资产损毁情况，并及时维修，保证监测站资产安全；及时给看护人员发放足额看护费用，并应有看护人员、现场人员签字。</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个地下水监测站自动监测仪器现场校测</w:t>
            </w:r>
            <w:r>
              <w:rPr>
                <w:rFonts w:hint="eastAsia" w:asciiTheme="minorEastAsia" w:hAnsiTheme="minorEastAsia" w:eastAsiaTheme="minorEastAsia"/>
                <w:color w:val="000000" w:themeColor="text1"/>
                <w:sz w:val="28"/>
                <w:szCs w:val="28"/>
              </w:rPr>
              <w:t>（含井深测量）：</w:t>
            </w:r>
            <w:r>
              <w:rPr>
                <w:rFonts w:asciiTheme="minorEastAsia" w:hAnsiTheme="minorEastAsia" w:eastAsiaTheme="minorEastAsia"/>
                <w:color w:val="000000" w:themeColor="text1"/>
                <w:sz w:val="28"/>
                <w:szCs w:val="28"/>
              </w:rPr>
              <w:t>对</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个地下水监测站自动监测仪器现场校测</w:t>
            </w:r>
            <w:r>
              <w:rPr>
                <w:rFonts w:hint="eastAsia" w:asciiTheme="minorEastAsia" w:hAnsiTheme="minorEastAsia" w:eastAsiaTheme="minorEastAsia"/>
                <w:color w:val="000000" w:themeColor="text1"/>
                <w:sz w:val="28"/>
                <w:szCs w:val="28"/>
              </w:rPr>
              <w:t>至少1</w:t>
            </w:r>
            <w:r>
              <w:rPr>
                <w:rFonts w:asciiTheme="minorEastAsia" w:hAnsiTheme="minorEastAsia" w:eastAsiaTheme="minorEastAsia"/>
                <w:color w:val="000000" w:themeColor="text1"/>
                <w:sz w:val="28"/>
                <w:szCs w:val="28"/>
              </w:rPr>
              <w:t>次</w:t>
            </w:r>
            <w:r>
              <w:rPr>
                <w:rFonts w:hint="eastAsia" w:asciiTheme="minorEastAsia" w:hAnsiTheme="minorEastAsia" w:eastAsiaTheme="minorEastAsia"/>
                <w:color w:val="000000" w:themeColor="text1"/>
                <w:sz w:val="28"/>
                <w:szCs w:val="28"/>
              </w:rPr>
              <w:t>，通过对比现场人工实测水位数据与自动监测设备采集水位数据的方式对设备进行校测。校测前应对地下水监测站进行1次井深测量，采用经过国家计量鉴定的测绳或自动测井深设备进行测量，记录测量结果，需对比分析造成井深变化的可能原因。当井内有异物影响井深时，宜采用打捞工具捞取落物，再进行测量。</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4、4个水质自动站监测仪器校测：</w:t>
            </w:r>
            <w:r>
              <w:rPr>
                <w:rFonts w:asciiTheme="minorEastAsia" w:hAnsiTheme="minorEastAsia" w:eastAsiaTheme="minorEastAsia"/>
                <w:color w:val="000000" w:themeColor="text1"/>
                <w:sz w:val="28"/>
                <w:szCs w:val="28"/>
              </w:rPr>
              <w:t>全年进行</w:t>
            </w:r>
            <w:r>
              <w:rPr>
                <w:rFonts w:hint="eastAsia" w:asciiTheme="minorEastAsia" w:hAnsiTheme="minorEastAsia" w:eastAsiaTheme="minorEastAsia"/>
                <w:color w:val="000000" w:themeColor="text1"/>
                <w:sz w:val="28"/>
                <w:szCs w:val="28"/>
              </w:rPr>
              <w:t>1</w:t>
            </w:r>
            <w:r>
              <w:rPr>
                <w:rFonts w:asciiTheme="minorEastAsia" w:hAnsiTheme="minorEastAsia" w:eastAsiaTheme="minorEastAsia"/>
                <w:color w:val="000000" w:themeColor="text1"/>
                <w:sz w:val="28"/>
                <w:szCs w:val="28"/>
              </w:rPr>
              <w:t>次自动监测仪器校测，执行《水环境检测仪器及设备校验方法》（SL 144.1～11-2008）有关技术要求。</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390</w:t>
            </w:r>
            <w:r>
              <w:rPr>
                <w:rFonts w:asciiTheme="minorEastAsia" w:hAnsiTheme="minorEastAsia" w:eastAsiaTheme="minorEastAsia"/>
                <w:color w:val="000000" w:themeColor="text1"/>
                <w:sz w:val="28"/>
                <w:szCs w:val="28"/>
              </w:rPr>
              <w:t>个监测站自动监测仪器</w:t>
            </w:r>
            <w:r>
              <w:rPr>
                <w:rFonts w:hint="eastAsia" w:asciiTheme="minorEastAsia" w:hAnsiTheme="minorEastAsia" w:eastAsiaTheme="minorEastAsia"/>
                <w:color w:val="000000" w:themeColor="text1"/>
                <w:sz w:val="28"/>
                <w:szCs w:val="28"/>
              </w:rPr>
              <w:t>通信保障和</w:t>
            </w:r>
            <w:r>
              <w:rPr>
                <w:rFonts w:asciiTheme="minorEastAsia" w:hAnsiTheme="minorEastAsia" w:eastAsiaTheme="minorEastAsia"/>
                <w:color w:val="000000" w:themeColor="text1"/>
                <w:sz w:val="28"/>
                <w:szCs w:val="28"/>
              </w:rPr>
              <w:t>故障处理</w:t>
            </w:r>
            <w:r>
              <w:rPr>
                <w:rFonts w:hint="eastAsia" w:asciiTheme="minorEastAsia" w:hAnsiTheme="minorEastAsia" w:eastAsiaTheme="minorEastAsia"/>
                <w:color w:val="000000" w:themeColor="text1"/>
                <w:sz w:val="28"/>
                <w:szCs w:val="28"/>
              </w:rPr>
              <w:t>：保证监测数据的正常采集和传输，对出现故障的监测仪器及时进行处理。</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6、井口保护装置等附属设施养护维护：对</w:t>
            </w:r>
            <w:r>
              <w:rPr>
                <w:rFonts w:asciiTheme="minorEastAsia" w:hAnsiTheme="minorEastAsia" w:eastAsiaTheme="minorEastAsia"/>
                <w:color w:val="000000" w:themeColor="text1"/>
                <w:sz w:val="28"/>
                <w:szCs w:val="28"/>
              </w:rPr>
              <w:t>监测站保护筒外表漆面</w:t>
            </w:r>
            <w:r>
              <w:rPr>
                <w:rFonts w:hint="eastAsia" w:asciiTheme="minorEastAsia" w:hAnsiTheme="minorEastAsia" w:eastAsiaTheme="minorEastAsia"/>
                <w:color w:val="000000" w:themeColor="text1"/>
                <w:sz w:val="28"/>
                <w:szCs w:val="28"/>
              </w:rPr>
              <w:t>锈蚀严重的进行</w:t>
            </w:r>
            <w:r>
              <w:rPr>
                <w:rFonts w:asciiTheme="minorEastAsia" w:hAnsiTheme="minorEastAsia" w:eastAsiaTheme="minorEastAsia"/>
                <w:color w:val="000000" w:themeColor="text1"/>
                <w:sz w:val="28"/>
                <w:szCs w:val="28"/>
              </w:rPr>
              <w:t>处理，要求打磨除掉原有漆面及铁锈，防腐处理后喷漆，</w:t>
            </w:r>
            <w:r>
              <w:rPr>
                <w:rFonts w:hint="eastAsia" w:asciiTheme="minorEastAsia" w:hAnsiTheme="minorEastAsia" w:eastAsiaTheme="minorEastAsia"/>
                <w:color w:val="000000" w:themeColor="text1"/>
                <w:sz w:val="28"/>
                <w:szCs w:val="28"/>
              </w:rPr>
              <w:t>作业过程应在无风无雨天气条件下进行；对遭到破坏的水准点、指示桩、标示牌等辅助设施进行维修和重建等。</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390个监测站2019年度地下水资料整编与刊印：采用国家地下水监测工程（水利部分）统一开发的地下水监测信息整编系统完成资料整编工作；按照水利部办公厅下发的任务书时间节点要求，及时完成资料入库和信息交换工作；按照《全国地下水监测资料年鉴刊印大纲》要求，完成纸质年鉴刊印。</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w:t>
            </w:r>
            <w:r>
              <w:rPr>
                <w:rFonts w:asciiTheme="minorEastAsia" w:hAnsiTheme="minorEastAsia" w:eastAsiaTheme="minorEastAsia"/>
                <w:color w:val="000000" w:themeColor="text1"/>
                <w:sz w:val="28"/>
                <w:szCs w:val="28"/>
              </w:rPr>
              <w:t>、省市地下水监测中心</w:t>
            </w:r>
            <w:r>
              <w:rPr>
                <w:rFonts w:hint="eastAsia" w:asciiTheme="minorEastAsia" w:hAnsiTheme="minorEastAsia" w:eastAsiaTheme="minorEastAsia"/>
                <w:color w:val="000000" w:themeColor="text1"/>
                <w:sz w:val="28"/>
                <w:szCs w:val="28"/>
              </w:rPr>
              <w:t>系统运行维护管理：包括数据接收与处理、数据交换、业务应用系统、网络与基础运行环境、信息安全体系等，监测站监测信息和设备工况、系统运行日常监控，提供</w:t>
            </w:r>
            <w:r>
              <w:rPr>
                <w:rFonts w:asciiTheme="minorEastAsia" w:hAnsiTheme="minorEastAsia" w:eastAsiaTheme="minorEastAsia"/>
                <w:color w:val="000000" w:themeColor="text1"/>
                <w:sz w:val="28"/>
                <w:szCs w:val="28"/>
              </w:rPr>
              <w:t>7×24小时</w:t>
            </w:r>
            <w:r>
              <w:rPr>
                <w:rFonts w:hint="eastAsia" w:asciiTheme="minorEastAsia" w:hAnsiTheme="minorEastAsia" w:eastAsiaTheme="minorEastAsia"/>
                <w:color w:val="000000" w:themeColor="text1"/>
                <w:sz w:val="28"/>
                <w:szCs w:val="28"/>
              </w:rPr>
              <w:t>系统运行维护管理，保证系统正常运行。省级监测中心系统按照信息系统安全三级保护标准开展运维工作。</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9</w:t>
            </w:r>
            <w:r>
              <w:rPr>
                <w:rFonts w:asciiTheme="minorEastAsia" w:hAnsiTheme="minorEastAsia" w:eastAsiaTheme="minorEastAsia"/>
                <w:color w:val="000000" w:themeColor="text1"/>
                <w:sz w:val="28"/>
                <w:szCs w:val="28"/>
              </w:rPr>
              <w:t>、监测站自动监测设备故障处理技术支持</w:t>
            </w:r>
            <w:r>
              <w:rPr>
                <w:rFonts w:hint="eastAsia" w:asciiTheme="minorEastAsia" w:hAnsiTheme="minorEastAsia" w:eastAsiaTheme="minorEastAsia"/>
                <w:color w:val="000000" w:themeColor="text1"/>
                <w:sz w:val="28"/>
                <w:szCs w:val="28"/>
              </w:rPr>
              <w:t>：在处理仪器设备故障过程中遇到技术困难，项目承担单位给予技术支持，解决困难；对现场运维人员培训。</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10、提供省中心管理、市（地）分中心管理及故障处理所需交通工具及自动监测设备维护相应的备品备件</w:t>
            </w:r>
            <w:r>
              <w:rPr>
                <w:rFonts w:hint="eastAsia" w:asciiTheme="minorEastAsia" w:hAnsiTheme="minorEastAsia" w:eastAsiaTheme="minorEastAsia"/>
                <w:color w:val="000000" w:themeColor="text1"/>
                <w:sz w:val="28"/>
                <w:szCs w:val="28"/>
              </w:rPr>
              <w:t>：包括20套水位监测仪器备品备件（需从水利部水文仪器及岩土工程仪器质量监督检验测试中心公布的合格产品目录中选购）、10</w:t>
            </w:r>
            <w:r>
              <w:rPr>
                <w:rFonts w:asciiTheme="minorEastAsia" w:hAnsiTheme="minorEastAsia" w:eastAsiaTheme="minorEastAsia"/>
                <w:color w:val="000000" w:themeColor="text1"/>
                <w:sz w:val="28"/>
                <w:szCs w:val="28"/>
              </w:rPr>
              <w:t>个</w:t>
            </w:r>
            <w:r>
              <w:rPr>
                <w:rFonts w:hint="eastAsia" w:asciiTheme="minorEastAsia" w:hAnsiTheme="minorEastAsia" w:eastAsiaTheme="minorEastAsia"/>
                <w:color w:val="000000" w:themeColor="text1"/>
                <w:sz w:val="28"/>
                <w:szCs w:val="28"/>
              </w:rPr>
              <w:t>保护桶扳手、20</w:t>
            </w:r>
            <w:r>
              <w:rPr>
                <w:rFonts w:asciiTheme="minorEastAsia" w:hAnsiTheme="minorEastAsia" w:eastAsiaTheme="minorEastAsia"/>
                <w:color w:val="000000" w:themeColor="text1"/>
                <w:sz w:val="28"/>
                <w:szCs w:val="28"/>
              </w:rPr>
              <w:t>个</w:t>
            </w:r>
            <w:r>
              <w:rPr>
                <w:rFonts w:hint="eastAsia" w:asciiTheme="minorEastAsia" w:hAnsiTheme="minorEastAsia" w:eastAsiaTheme="minorEastAsia"/>
                <w:color w:val="000000" w:themeColor="text1"/>
                <w:sz w:val="28"/>
                <w:szCs w:val="28"/>
              </w:rPr>
              <w:t>高增益天线、10</w:t>
            </w:r>
            <w:r>
              <w:rPr>
                <w:rFonts w:asciiTheme="minorEastAsia" w:hAnsiTheme="minorEastAsia" w:eastAsiaTheme="minorEastAsia"/>
                <w:color w:val="000000" w:themeColor="text1"/>
                <w:sz w:val="28"/>
                <w:szCs w:val="28"/>
              </w:rPr>
              <w:t>套</w:t>
            </w:r>
            <w:r>
              <w:rPr>
                <w:rFonts w:hint="eastAsia" w:asciiTheme="minorEastAsia" w:hAnsiTheme="minorEastAsia" w:eastAsiaTheme="minorEastAsia"/>
                <w:color w:val="000000" w:themeColor="text1"/>
                <w:sz w:val="28"/>
                <w:szCs w:val="28"/>
              </w:rPr>
              <w:t>工具箱，必备办公用品，处理省、市中心故障必要的交通工具等。</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11、314个监测站42项（具体见地下水水质检测项目一览表（42项），下同）、8个同步监测站93项采样前抽水等准备工作：按照《地下水水质样品采集技术指南》（地下水〔2018〕91号）有关要求进行采样前准备和抽水工作。准备水泵和配套辅助实施等采样设备、便携式水质分析仪等现场监测仪器和样品容器等。</w:t>
            </w:r>
            <w:r>
              <w:rPr>
                <w:rFonts w:asciiTheme="minorEastAsia" w:hAnsiTheme="minorEastAsia" w:eastAsiaTheme="minorEastAsia"/>
                <w:color w:val="000000" w:themeColor="text1"/>
                <w:sz w:val="28"/>
                <w:szCs w:val="28"/>
              </w:rPr>
              <w:t>抽水前提出自动监测仪器，轻拿轻放，不得磕碰探头，并保持探头清洁。通讯电缆杜绝对折及挤压，应有序缠绕杜绝乱扔乱放，缠绕半径不小于0.60m，确保自动监测仪器不受损坏。</w:t>
            </w:r>
            <w:r>
              <w:rPr>
                <w:rFonts w:hint="eastAsia" w:asciiTheme="minorEastAsia" w:hAnsiTheme="minorEastAsia" w:eastAsiaTheme="minorEastAsia"/>
                <w:color w:val="000000" w:themeColor="text1"/>
                <w:sz w:val="28"/>
                <w:szCs w:val="28"/>
              </w:rPr>
              <w:t>根据各监测井情况采用适宜型号的水泵进行抽水，达到采样技术要求。工作过程中解决好临时占地、损毁青苗及排水等问题。</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314</w:t>
            </w:r>
            <w:r>
              <w:rPr>
                <w:rFonts w:asciiTheme="minorEastAsia" w:hAnsiTheme="minorEastAsia" w:eastAsiaTheme="minorEastAsia"/>
                <w:color w:val="000000" w:themeColor="text1"/>
                <w:sz w:val="28"/>
                <w:szCs w:val="28"/>
              </w:rPr>
              <w:t>个监测站</w:t>
            </w:r>
            <w:r>
              <w:rPr>
                <w:rFonts w:hint="eastAsia" w:asciiTheme="minorEastAsia" w:hAnsiTheme="minorEastAsia" w:eastAsiaTheme="minorEastAsia"/>
                <w:color w:val="000000" w:themeColor="text1"/>
                <w:sz w:val="28"/>
                <w:szCs w:val="28"/>
              </w:rPr>
              <w:t>42</w:t>
            </w:r>
            <w:r>
              <w:rPr>
                <w:rFonts w:asciiTheme="minorEastAsia" w:hAnsiTheme="minorEastAsia" w:eastAsiaTheme="minorEastAsia"/>
                <w:color w:val="000000" w:themeColor="text1"/>
                <w:sz w:val="28"/>
                <w:szCs w:val="28"/>
              </w:rPr>
              <w:t>项、</w:t>
            </w:r>
            <w:r>
              <w:rPr>
                <w:rFonts w:hint="eastAsia" w:asciiTheme="minorEastAsia" w:hAnsiTheme="minorEastAsia" w:eastAsiaTheme="minorEastAsia"/>
                <w:color w:val="000000" w:themeColor="text1"/>
                <w:sz w:val="28"/>
                <w:szCs w:val="28"/>
              </w:rPr>
              <w:t>8个同步监测站</w:t>
            </w:r>
            <w:r>
              <w:rPr>
                <w:rFonts w:asciiTheme="minorEastAsia" w:hAnsiTheme="minorEastAsia" w:eastAsiaTheme="minorEastAsia"/>
                <w:color w:val="000000" w:themeColor="text1"/>
                <w:sz w:val="28"/>
                <w:szCs w:val="28"/>
              </w:rPr>
              <w:t>93项的水质采样</w:t>
            </w:r>
            <w:r>
              <w:rPr>
                <w:rFonts w:hint="eastAsia" w:asciiTheme="minorEastAsia" w:hAnsiTheme="minorEastAsia" w:eastAsiaTheme="minorEastAsia"/>
                <w:color w:val="000000" w:themeColor="text1"/>
                <w:sz w:val="28"/>
                <w:szCs w:val="28"/>
              </w:rPr>
              <w:t>：按照《地下水水质样品采集技术指南》（地下水〔2018〕91号）有关要求进行采样，现场填写《地下水采样记录表》，</w:t>
            </w:r>
            <w:r>
              <w:rPr>
                <w:rFonts w:asciiTheme="minorEastAsia" w:hAnsiTheme="minorEastAsia" w:eastAsiaTheme="minorEastAsia"/>
                <w:color w:val="000000" w:themeColor="text1"/>
                <w:sz w:val="28"/>
                <w:szCs w:val="28"/>
              </w:rPr>
              <w:t>拍摄采样现场照片</w:t>
            </w:r>
            <w:r>
              <w:rPr>
                <w:rFonts w:hint="eastAsia" w:asciiTheme="minorEastAsia" w:hAnsiTheme="minorEastAsia" w:eastAsiaTheme="minorEastAsia"/>
                <w:color w:val="000000" w:themeColor="text1"/>
                <w:sz w:val="28"/>
                <w:szCs w:val="28"/>
              </w:rPr>
              <w:t>。采</w:t>
            </w:r>
            <w:r>
              <w:rPr>
                <w:rFonts w:asciiTheme="minorEastAsia" w:hAnsiTheme="minorEastAsia" w:eastAsiaTheme="minorEastAsia"/>
                <w:color w:val="000000" w:themeColor="text1"/>
                <w:sz w:val="28"/>
                <w:szCs w:val="28"/>
              </w:rPr>
              <w:t>样结束后按原样恢复自动监测仪器设备，保持井孔内电缆顺直，按原状锁紧固定电缆，并协助做好现场比测工作。撤离前进行安全检查，确保锁好保护装置。</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13</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314</w:t>
            </w:r>
            <w:r>
              <w:rPr>
                <w:rFonts w:asciiTheme="minorEastAsia" w:hAnsiTheme="minorEastAsia" w:eastAsiaTheme="minorEastAsia"/>
                <w:color w:val="000000" w:themeColor="text1"/>
                <w:sz w:val="28"/>
                <w:szCs w:val="28"/>
              </w:rPr>
              <w:t>个监测站</w:t>
            </w:r>
            <w:r>
              <w:rPr>
                <w:rFonts w:hint="eastAsia" w:asciiTheme="minorEastAsia" w:hAnsiTheme="minorEastAsia" w:eastAsiaTheme="minorEastAsia"/>
                <w:color w:val="000000" w:themeColor="text1"/>
                <w:sz w:val="28"/>
                <w:szCs w:val="28"/>
              </w:rPr>
              <w:t>42</w:t>
            </w:r>
            <w:r>
              <w:rPr>
                <w:rFonts w:asciiTheme="minorEastAsia" w:hAnsiTheme="minorEastAsia" w:eastAsiaTheme="minorEastAsia"/>
                <w:color w:val="000000" w:themeColor="text1"/>
                <w:sz w:val="28"/>
                <w:szCs w:val="28"/>
              </w:rPr>
              <w:t>项、8个同步监测站</w:t>
            </w:r>
            <w:r>
              <w:rPr>
                <w:rFonts w:hint="eastAsia" w:asciiTheme="minorEastAsia" w:hAnsiTheme="minorEastAsia" w:eastAsiaTheme="minorEastAsia"/>
                <w:color w:val="000000" w:themeColor="text1"/>
                <w:sz w:val="28"/>
                <w:szCs w:val="28"/>
              </w:rPr>
              <w:t>水样运输（运送、寄送），抽水洗井应达到采样相关规范要求，提供全部水样容器。</w:t>
            </w:r>
            <w:r>
              <w:rPr>
                <w:rFonts w:asciiTheme="minorEastAsia" w:hAnsiTheme="minorEastAsia" w:eastAsiaTheme="minorEastAsia"/>
                <w:color w:val="000000" w:themeColor="text1"/>
                <w:sz w:val="28"/>
                <w:szCs w:val="28"/>
              </w:rPr>
              <w:t>应安全及时运送所有水样到指定地点，如发生水样丢失或损毁，须重新按规定采送样。</w:t>
            </w:r>
          </w:p>
          <w:p>
            <w:pPr>
              <w:pStyle w:val="37"/>
              <w:adjustRightInd w:val="0"/>
              <w:snapToGrid w:val="0"/>
              <w:spacing w:before="0" w:beforeAutospacing="0" w:after="0" w:afterAutospacing="0" w:line="360" w:lineRule="auto"/>
              <w:ind w:firstLine="560" w:firstLineChars="200"/>
              <w:rPr>
                <w:rFonts w:asciiTheme="minorEastAsia" w:hAnsiTheme="minorEastAsia" w:eastAsiaTheme="minorEastAsia"/>
                <w:color w:val="000000" w:themeColor="text1"/>
                <w:sz w:val="28"/>
                <w:szCs w:val="28"/>
                <w:highlight w:val="magenta"/>
              </w:rPr>
            </w:pPr>
            <w:r>
              <w:rPr>
                <w:rFonts w:asciiTheme="minorEastAsia" w:hAnsiTheme="minorEastAsia" w:eastAsiaTheme="minorEastAsia"/>
                <w:color w:val="000000" w:themeColor="text1"/>
                <w:sz w:val="28"/>
                <w:szCs w:val="28"/>
              </w:rPr>
              <w:t>14、</w:t>
            </w:r>
            <w:r>
              <w:rPr>
                <w:rFonts w:hint="eastAsia" w:asciiTheme="minorEastAsia" w:hAnsiTheme="minorEastAsia" w:eastAsiaTheme="minorEastAsia"/>
                <w:color w:val="000000" w:themeColor="text1"/>
                <w:sz w:val="28"/>
                <w:szCs w:val="28"/>
              </w:rPr>
              <w:t>314</w:t>
            </w:r>
            <w:r>
              <w:rPr>
                <w:rFonts w:asciiTheme="minorEastAsia" w:hAnsiTheme="minorEastAsia" w:eastAsiaTheme="minorEastAsia"/>
                <w:color w:val="000000" w:themeColor="text1"/>
                <w:sz w:val="28"/>
                <w:szCs w:val="28"/>
              </w:rPr>
              <w:t>个</w:t>
            </w:r>
            <w:r>
              <w:rPr>
                <w:rFonts w:hint="eastAsia" w:asciiTheme="minorEastAsia" w:hAnsiTheme="minorEastAsia" w:eastAsiaTheme="minorEastAsia"/>
                <w:color w:val="000000" w:themeColor="text1"/>
                <w:kern w:val="2"/>
                <w:sz w:val="28"/>
                <w:szCs w:val="28"/>
              </w:rPr>
              <w:t>监测站水质样品检测：应符合《地下水质量标准》（GB/T 14848-2017）中感官性状及一般化学指标（常规指标）的规范要求，出具水质评价报告、质控报告、检测报告，提交水质监测数据成果汇总表等。质控报告和水质监测数据成果应满足《水环境监测规范》（SL219-2013）数据记录、处理、审核和实验室质量控制等要求。</w:t>
            </w:r>
          </w:p>
          <w:p>
            <w:pPr>
              <w:numPr>
                <w:ilvl w:val="0"/>
                <w:numId w:val="8"/>
              </w:numPr>
              <w:spacing w:line="360" w:lineRule="auto"/>
              <w:ind w:firstLine="560" w:firstLineChars="200"/>
              <w:jc w:val="left"/>
              <w:rPr>
                <w:rFonts w:ascii="宋体" w:hAnsi="宋体" w:cs="华文仿宋"/>
                <w:sz w:val="28"/>
                <w:szCs w:val="28"/>
              </w:rPr>
            </w:pPr>
            <w:r>
              <w:rPr>
                <w:rFonts w:hint="eastAsia" w:ascii="宋体" w:hAnsi="宋体" w:cs="华文仿宋"/>
                <w:sz w:val="28"/>
                <w:szCs w:val="28"/>
              </w:rPr>
              <w:t>成果交付的形式及数量：</w:t>
            </w:r>
          </w:p>
          <w:p>
            <w:pPr>
              <w:numPr>
                <w:ilvl w:val="255"/>
                <w:numId w:val="0"/>
              </w:numPr>
              <w:adjustRightInd w:val="0"/>
              <w:snapToGrid w:val="0"/>
              <w:spacing w:line="360" w:lineRule="auto"/>
              <w:ind w:firstLine="560" w:firstLineChars="200"/>
              <w:rPr>
                <w:rFonts w:ascii="宋体" w:hAnsi="宋体"/>
                <w:sz w:val="28"/>
                <w:szCs w:val="28"/>
              </w:rPr>
            </w:pPr>
            <w:r>
              <w:rPr>
                <w:rFonts w:hint="eastAsia" w:ascii="宋体" w:hAnsi="宋体"/>
                <w:sz w:val="28"/>
                <w:szCs w:val="28"/>
              </w:rPr>
              <w:t>1、2020年实施方案，纸质版3份，电子版1份。</w:t>
            </w:r>
          </w:p>
          <w:p>
            <w:pPr>
              <w:numPr>
                <w:ilvl w:val="255"/>
                <w:numId w:val="0"/>
              </w:numPr>
              <w:adjustRightInd w:val="0"/>
              <w:snapToGrid w:val="0"/>
              <w:spacing w:line="360" w:lineRule="auto"/>
              <w:ind w:firstLine="560" w:firstLineChars="200"/>
              <w:rPr>
                <w:rFonts w:ascii="宋体" w:hAnsi="宋体"/>
                <w:sz w:val="28"/>
                <w:szCs w:val="28"/>
              </w:rPr>
            </w:pPr>
            <w:r>
              <w:rPr>
                <w:rFonts w:hint="eastAsia" w:ascii="宋体" w:hAnsi="宋体"/>
                <w:sz w:val="28"/>
                <w:szCs w:val="28"/>
              </w:rPr>
              <w:t>2、地下水监测系统运维工作报告及有关附件（内容包括校测、井深测量、设备维护等现场记录，系统运行维护记录，系统到报率、完整率、交换率等统计），纸质版3份，电子版1份。</w:t>
            </w:r>
          </w:p>
          <w:p>
            <w:pPr>
              <w:numPr>
                <w:ilvl w:val="255"/>
                <w:numId w:val="0"/>
              </w:numPr>
              <w:adjustRightInd w:val="0"/>
              <w:snapToGrid w:val="0"/>
              <w:spacing w:line="360" w:lineRule="auto"/>
              <w:ind w:firstLine="560" w:firstLineChars="200"/>
              <w:rPr>
                <w:rFonts w:ascii="宋体" w:hAnsi="宋体"/>
                <w:sz w:val="28"/>
                <w:szCs w:val="28"/>
              </w:rPr>
            </w:pPr>
            <w:r>
              <w:rPr>
                <w:rFonts w:hint="eastAsia" w:ascii="宋体" w:hAnsi="宋体"/>
                <w:sz w:val="28"/>
                <w:szCs w:val="28"/>
              </w:rPr>
              <w:t>3、全国地下水监测资料年鉴2019安徽卷10套，按有关要求寄送甲方5套，剩余交由安徽省水文局保管，电子版1套。</w:t>
            </w:r>
          </w:p>
          <w:p>
            <w:pPr>
              <w:numPr>
                <w:ilvl w:val="255"/>
                <w:numId w:val="0"/>
              </w:numPr>
              <w:adjustRightInd w:val="0"/>
              <w:snapToGrid w:val="0"/>
              <w:spacing w:line="360" w:lineRule="auto"/>
              <w:ind w:firstLine="560" w:firstLineChars="200"/>
              <w:rPr>
                <w:rFonts w:ascii="宋体" w:hAnsi="宋体"/>
                <w:sz w:val="28"/>
                <w:szCs w:val="28"/>
              </w:rPr>
            </w:pPr>
            <w:r>
              <w:rPr>
                <w:rFonts w:hint="eastAsia" w:ascii="宋体" w:hAnsi="宋体"/>
                <w:sz w:val="28"/>
                <w:szCs w:val="28"/>
              </w:rPr>
              <w:t>4、地下水水质监测工作报告、检测报告、评价报告、质控报告纸质版各2份，电子版各1份；地下水采样记录表纸质版1份；水质监测数据成果汇总表电子版1份，采样人员现场采样照片及已采的水质样品照片电子版1份。电子版以电子光盘形式提供。</w:t>
            </w:r>
          </w:p>
          <w:p>
            <w:pPr>
              <w:tabs>
                <w:tab w:val="left" w:pos="1200"/>
              </w:tabs>
              <w:spacing w:line="360" w:lineRule="auto"/>
              <w:ind w:firstLine="562" w:firstLineChars="200"/>
              <w:jc w:val="left"/>
              <w:rPr>
                <w:rFonts w:ascii="宋体" w:hAnsi="宋体" w:cs="华文仿宋"/>
                <w:b/>
                <w:bCs/>
                <w:sz w:val="28"/>
                <w:szCs w:val="28"/>
              </w:rPr>
            </w:pPr>
            <w:r>
              <w:rPr>
                <w:rFonts w:hint="eastAsia" w:ascii="宋体" w:hAnsi="宋体" w:cs="华文仿宋"/>
                <w:b/>
                <w:bCs/>
                <w:sz w:val="28"/>
                <w:szCs w:val="28"/>
              </w:rPr>
              <w:t>二、工作条件和协作事项</w:t>
            </w:r>
          </w:p>
          <w:p>
            <w:pPr>
              <w:spacing w:line="360" w:lineRule="auto"/>
              <w:ind w:firstLine="562" w:firstLineChars="200"/>
              <w:jc w:val="left"/>
              <w:rPr>
                <w:rFonts w:ascii="宋体" w:hAnsi="宋体" w:cs="华文仿宋"/>
                <w:b/>
                <w:sz w:val="28"/>
                <w:szCs w:val="28"/>
              </w:rPr>
            </w:pPr>
            <w:r>
              <w:rPr>
                <w:rFonts w:hint="eastAsia" w:ascii="宋体" w:hAnsi="宋体" w:cs="华文仿宋"/>
                <w:b/>
                <w:sz w:val="28"/>
                <w:szCs w:val="28"/>
              </w:rPr>
              <w:t>（一）工作条件</w:t>
            </w:r>
          </w:p>
          <w:p>
            <w:pPr>
              <w:adjustRightInd w:val="0"/>
              <w:snapToGrid w:val="0"/>
              <w:spacing w:line="360" w:lineRule="auto"/>
              <w:ind w:firstLine="560" w:firstLineChars="200"/>
              <w:jc w:val="left"/>
              <w:rPr>
                <w:rFonts w:ascii="宋体" w:hAnsi="宋体" w:cs="华文仿宋"/>
                <w:sz w:val="28"/>
                <w:szCs w:val="28"/>
              </w:rPr>
            </w:pPr>
            <w:r>
              <w:rPr>
                <w:rFonts w:hint="eastAsia" w:ascii="宋体" w:hAnsi="宋体" w:cs="华文仿宋"/>
                <w:sz w:val="28"/>
                <w:szCs w:val="28"/>
              </w:rPr>
              <w:t>甲方委托</w:t>
            </w:r>
            <w:r>
              <w:rPr>
                <w:rFonts w:hint="eastAsia" w:ascii="宋体" w:hAnsi="宋体" w:cs="华文仿宋"/>
                <w:color w:val="000000"/>
                <w:sz w:val="28"/>
                <w:szCs w:val="28"/>
              </w:rPr>
              <w:t>安徽省水文局</w:t>
            </w:r>
            <w:r>
              <w:rPr>
                <w:rFonts w:hint="eastAsia" w:ascii="宋体" w:hAnsi="宋体" w:cs="华文仿宋"/>
                <w:sz w:val="28"/>
                <w:szCs w:val="28"/>
              </w:rPr>
              <w:t>对乙方工作给予支持。如乙方有需要，由</w:t>
            </w:r>
            <w:r>
              <w:rPr>
                <w:rFonts w:hint="eastAsia" w:ascii="宋体" w:hAnsi="宋体" w:cs="华文仿宋"/>
                <w:color w:val="000000"/>
                <w:sz w:val="28"/>
                <w:szCs w:val="28"/>
              </w:rPr>
              <w:t>安徽省水文局</w:t>
            </w:r>
            <w:r>
              <w:rPr>
                <w:rFonts w:hint="eastAsia" w:ascii="宋体" w:hAnsi="宋体" w:cs="华文仿宋"/>
                <w:sz w:val="28"/>
                <w:szCs w:val="28"/>
              </w:rPr>
              <w:t>提供履行合同所必需的有关图纸、数据、资料等。乙方须履行保密义务，水质监测数据等信息、资料未经甲方和</w:t>
            </w:r>
            <w:r>
              <w:rPr>
                <w:rFonts w:hint="eastAsia" w:ascii="宋体" w:hAnsi="宋体" w:cs="华文仿宋"/>
                <w:color w:val="000000"/>
                <w:sz w:val="28"/>
                <w:szCs w:val="28"/>
              </w:rPr>
              <w:t>安徽省水文局</w:t>
            </w:r>
            <w:r>
              <w:rPr>
                <w:rFonts w:hint="eastAsia" w:ascii="宋体" w:hAnsi="宋体" w:cs="华文仿宋"/>
                <w:sz w:val="28"/>
                <w:szCs w:val="28"/>
              </w:rPr>
              <w:t>允许不得泄露给第三方。</w:t>
            </w:r>
          </w:p>
          <w:p>
            <w:pPr>
              <w:spacing w:line="360" w:lineRule="auto"/>
              <w:ind w:firstLine="562" w:firstLineChars="200"/>
              <w:jc w:val="left"/>
              <w:rPr>
                <w:rFonts w:ascii="宋体" w:hAnsi="宋体" w:cs="华文仿宋"/>
                <w:b/>
                <w:sz w:val="28"/>
                <w:szCs w:val="28"/>
              </w:rPr>
            </w:pPr>
            <w:r>
              <w:rPr>
                <w:rFonts w:hint="eastAsia" w:ascii="宋体" w:hAnsi="宋体" w:cs="华文仿宋"/>
                <w:b/>
                <w:sz w:val="28"/>
                <w:szCs w:val="28"/>
              </w:rPr>
              <w:t>（二）协作事项</w:t>
            </w:r>
          </w:p>
          <w:p>
            <w:pPr>
              <w:adjustRightInd w:val="0"/>
              <w:snapToGrid w:val="0"/>
              <w:spacing w:line="360" w:lineRule="auto"/>
              <w:ind w:firstLine="560" w:firstLineChars="200"/>
              <w:jc w:val="left"/>
              <w:rPr>
                <w:rFonts w:ascii="宋体" w:hAnsi="宋体" w:cs="华文仿宋"/>
                <w:sz w:val="28"/>
                <w:szCs w:val="28"/>
              </w:rPr>
            </w:pPr>
            <w:r>
              <w:rPr>
                <w:rFonts w:ascii="宋体" w:hAnsi="宋体" w:cs="华文仿宋"/>
                <w:sz w:val="28"/>
                <w:szCs w:val="28"/>
              </w:rPr>
              <w:t>1、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adjustRightInd w:val="0"/>
              <w:snapToGrid w:val="0"/>
              <w:spacing w:line="360" w:lineRule="auto"/>
              <w:ind w:firstLine="560" w:firstLineChars="200"/>
              <w:jc w:val="left"/>
              <w:rPr>
                <w:rFonts w:ascii="宋体" w:hAnsi="宋体" w:cs="华文仿宋"/>
                <w:sz w:val="28"/>
                <w:szCs w:val="28"/>
              </w:rPr>
            </w:pPr>
            <w:r>
              <w:rPr>
                <w:rFonts w:ascii="宋体" w:hAnsi="宋体" w:cs="华文仿宋"/>
                <w:sz w:val="28"/>
                <w:szCs w:val="28"/>
              </w:rPr>
              <w:t>2</w:t>
            </w:r>
            <w:r>
              <w:rPr>
                <w:rFonts w:hint="eastAsia" w:ascii="宋体" w:hAnsi="宋体" w:cs="华文仿宋"/>
                <w:sz w:val="28"/>
                <w:szCs w:val="28"/>
              </w:rPr>
              <w:t>、乙方需接受</w:t>
            </w:r>
            <w:r>
              <w:rPr>
                <w:rFonts w:hint="eastAsia" w:ascii="宋体" w:hAnsi="宋体" w:cs="华文仿宋"/>
                <w:color w:val="000000"/>
                <w:sz w:val="28"/>
                <w:szCs w:val="28"/>
              </w:rPr>
              <w:t>安徽省水文局</w:t>
            </w:r>
            <w:r>
              <w:rPr>
                <w:rFonts w:hint="eastAsia" w:ascii="宋体" w:hAnsi="宋体" w:cs="华文仿宋"/>
                <w:sz w:val="28"/>
                <w:szCs w:val="28"/>
              </w:rPr>
              <w:t>监督管理。</w:t>
            </w:r>
          </w:p>
          <w:p>
            <w:pPr>
              <w:spacing w:line="360" w:lineRule="auto"/>
              <w:rPr>
                <w:rFonts w:ascii="宋体" w:hAnsi="宋体" w:cs="华文仿宋"/>
                <w:sz w:val="28"/>
                <w:szCs w:val="28"/>
              </w:rPr>
            </w:pPr>
            <w:r>
              <w:rPr>
                <w:rFonts w:hint="eastAsia" w:ascii="宋体" w:hAnsi="宋体" w:cs="华文仿宋"/>
                <w:sz w:val="28"/>
                <w:szCs w:val="28"/>
              </w:rPr>
              <w:t>　　</w:t>
            </w:r>
            <w:r>
              <w:rPr>
                <w:rFonts w:ascii="宋体" w:hAnsi="宋体" w:cs="华文仿宋"/>
                <w:sz w:val="28"/>
                <w:szCs w:val="28"/>
              </w:rPr>
              <w:t>3、乙方按照水利部有关文件及合同相关要求完成本项目全部工作内容，提交相关资料成果。</w:t>
            </w:r>
          </w:p>
          <w:p>
            <w:pPr>
              <w:spacing w:line="360" w:lineRule="auto"/>
              <w:ind w:firstLine="560"/>
              <w:rPr>
                <w:rFonts w:ascii="宋体" w:hAnsi="宋体" w:cs="华文仿宋"/>
                <w:sz w:val="28"/>
                <w:szCs w:val="28"/>
              </w:rPr>
            </w:pPr>
            <w:r>
              <w:rPr>
                <w:rFonts w:ascii="宋体" w:hAnsi="宋体" w:cs="华文仿宋"/>
                <w:sz w:val="28"/>
                <w:szCs w:val="28"/>
              </w:rPr>
              <w:t>4、乙方根据</w:t>
            </w:r>
            <w:r>
              <w:rPr>
                <w:rFonts w:hint="eastAsia" w:ascii="宋体" w:hAnsi="宋体" w:cs="华文仿宋"/>
                <w:sz w:val="28"/>
                <w:szCs w:val="28"/>
              </w:rPr>
              <w:t>安徽省实际，科学合理制定实施方案、安排任务、采取质量控制措施等，保证成果质量。</w:t>
            </w:r>
          </w:p>
          <w:p>
            <w:pPr>
              <w:spacing w:line="360" w:lineRule="auto"/>
              <w:ind w:firstLine="560"/>
              <w:jc w:val="left"/>
              <w:rPr>
                <w:rFonts w:ascii="宋体" w:hAnsi="宋体" w:cs="华文仿宋"/>
                <w:sz w:val="28"/>
                <w:szCs w:val="28"/>
              </w:rPr>
            </w:pPr>
            <w:r>
              <w:rPr>
                <w:rFonts w:ascii="宋体" w:hAnsi="宋体" w:cs="华文仿宋"/>
                <w:sz w:val="28"/>
                <w:szCs w:val="28"/>
              </w:rPr>
              <w:t>5、乙方应确保监测站资产安全，及时足额发放看护费用，提交经看护人员、</w:t>
            </w:r>
            <w:r>
              <w:rPr>
                <w:rFonts w:hint="eastAsia" w:ascii="宋体" w:hAnsi="宋体" w:cs="华文仿宋"/>
                <w:sz w:val="28"/>
                <w:szCs w:val="28"/>
              </w:rPr>
              <w:t>地市现场管理人员签字的看护费发放表。</w:t>
            </w:r>
          </w:p>
          <w:p>
            <w:pPr>
              <w:tabs>
                <w:tab w:val="left" w:pos="4240"/>
              </w:tabs>
              <w:spacing w:line="360" w:lineRule="auto"/>
              <w:ind w:firstLine="580"/>
              <w:jc w:val="left"/>
              <w:rPr>
                <w:rFonts w:ascii="宋体" w:hAnsi="宋体" w:cs="华文仿宋"/>
                <w:sz w:val="28"/>
                <w:szCs w:val="28"/>
              </w:rPr>
            </w:pPr>
            <w:r>
              <w:rPr>
                <w:rFonts w:ascii="宋体" w:hAnsi="宋体" w:cs="华文仿宋"/>
                <w:sz w:val="28"/>
                <w:szCs w:val="28"/>
              </w:rPr>
              <w:t>6、服务期内，乙方应提供相关服务支持。对甲方所反映的任何服务问题在</w:t>
            </w:r>
            <w:r>
              <w:rPr>
                <w:rFonts w:ascii="宋体" w:hAnsi="宋体" w:cs="华文仿宋"/>
                <w:sz w:val="28"/>
                <w:szCs w:val="28"/>
                <w:u w:val="single"/>
              </w:rPr>
              <w:t>2</w:t>
            </w:r>
            <w:r>
              <w:rPr>
                <w:rFonts w:hint="eastAsia" w:ascii="宋体" w:hAnsi="宋体" w:cs="华文仿宋"/>
                <w:sz w:val="28"/>
                <w:szCs w:val="28"/>
              </w:rPr>
              <w:t>小时之内做出及时响应，在</w:t>
            </w:r>
            <w:r>
              <w:rPr>
                <w:rFonts w:ascii="宋体" w:hAnsi="宋体" w:cs="华文仿宋"/>
                <w:sz w:val="28"/>
                <w:szCs w:val="28"/>
                <w:u w:val="single"/>
              </w:rPr>
              <w:t>12</w:t>
            </w:r>
            <w:r>
              <w:rPr>
                <w:rFonts w:hint="eastAsia" w:ascii="宋体" w:hAnsi="宋体" w:cs="华文仿宋"/>
                <w:sz w:val="28"/>
                <w:szCs w:val="28"/>
              </w:rPr>
              <w:t>小时之内赶到现场实地解决问题。若问题在</w:t>
            </w:r>
            <w:r>
              <w:rPr>
                <w:rFonts w:ascii="宋体" w:hAnsi="宋体" w:cs="华文仿宋"/>
                <w:sz w:val="28"/>
                <w:szCs w:val="28"/>
                <w:u w:val="single"/>
              </w:rPr>
              <w:t>12</w:t>
            </w:r>
            <w:r>
              <w:rPr>
                <w:rFonts w:hint="eastAsia" w:ascii="宋体" w:hAnsi="宋体" w:cs="华文仿宋"/>
                <w:sz w:val="28"/>
                <w:szCs w:val="28"/>
              </w:rPr>
              <w:t>小时后仍无法解决，乙方应在</w:t>
            </w:r>
            <w:r>
              <w:rPr>
                <w:rFonts w:ascii="宋体" w:hAnsi="宋体" w:cs="华文仿宋"/>
                <w:sz w:val="28"/>
                <w:szCs w:val="28"/>
                <w:u w:val="single"/>
              </w:rPr>
              <w:t xml:space="preserve"> 48</w:t>
            </w:r>
            <w:r>
              <w:rPr>
                <w:rFonts w:hint="eastAsia" w:ascii="宋体" w:hAnsi="宋体" w:cs="华文仿宋"/>
                <w:sz w:val="28"/>
                <w:szCs w:val="28"/>
              </w:rPr>
              <w:t>小时内免费提供服务的补偿、替换方案，直至服务恢复正常。</w:t>
            </w:r>
          </w:p>
          <w:p>
            <w:pPr>
              <w:tabs>
                <w:tab w:val="left" w:pos="4240"/>
              </w:tabs>
              <w:spacing w:line="360" w:lineRule="auto"/>
              <w:ind w:firstLine="580"/>
              <w:jc w:val="left"/>
              <w:rPr>
                <w:rFonts w:ascii="宋体" w:hAnsi="宋体" w:cs="华文仿宋"/>
                <w:sz w:val="28"/>
                <w:szCs w:val="28"/>
              </w:rPr>
            </w:pPr>
            <w:r>
              <w:rPr>
                <w:rFonts w:ascii="宋体" w:hAnsi="宋体" w:cs="华文仿宋"/>
                <w:sz w:val="28"/>
                <w:szCs w:val="28"/>
              </w:rPr>
              <w:t>7、乙方必须遵守甲方和</w:t>
            </w:r>
            <w:r>
              <w:rPr>
                <w:rFonts w:hint="eastAsia" w:ascii="宋体" w:hAnsi="宋体" w:cs="华文仿宋"/>
                <w:color w:val="000000"/>
                <w:sz w:val="28"/>
                <w:szCs w:val="28"/>
              </w:rPr>
              <w:t>安徽省水文局</w:t>
            </w:r>
            <w:r>
              <w:rPr>
                <w:rFonts w:hint="eastAsia" w:ascii="宋体" w:hAnsi="宋体" w:cs="华文仿宋"/>
                <w:sz w:val="28"/>
                <w:szCs w:val="28"/>
              </w:rPr>
              <w:t>的有关管理制度、操作规程。对于乙方违规操作等造成甲方损失的，由乙方按照本合同第六条的约定承担赔偿责任。</w:t>
            </w:r>
          </w:p>
          <w:p>
            <w:pPr>
              <w:spacing w:line="360" w:lineRule="auto"/>
              <w:ind w:firstLine="560"/>
              <w:jc w:val="left"/>
              <w:rPr>
                <w:rFonts w:ascii="宋体" w:hAnsi="宋体" w:cs="华文仿宋"/>
                <w:sz w:val="28"/>
                <w:szCs w:val="28"/>
              </w:rPr>
            </w:pPr>
            <w:r>
              <w:rPr>
                <w:rFonts w:ascii="宋体" w:hAnsi="宋体" w:cs="华文仿宋"/>
                <w:sz w:val="28"/>
                <w:szCs w:val="28"/>
              </w:rPr>
              <w:t>8、乙方要指定不少于一人全权全程负责本项目服务的落实，包括服务的咨询、执行和后续工作。</w:t>
            </w:r>
          </w:p>
          <w:p>
            <w:pPr>
              <w:spacing w:line="360" w:lineRule="auto"/>
              <w:ind w:firstLine="560"/>
              <w:jc w:val="left"/>
              <w:rPr>
                <w:rFonts w:ascii="宋体" w:hAnsi="宋体" w:cs="华文仿宋"/>
                <w:sz w:val="28"/>
                <w:szCs w:val="28"/>
              </w:rPr>
            </w:pPr>
            <w:r>
              <w:rPr>
                <w:rFonts w:hint="eastAsia" w:ascii="宋体" w:hAnsi="宋体" w:cs="华文仿宋"/>
                <w:sz w:val="28"/>
                <w:szCs w:val="28"/>
              </w:rPr>
              <w:t>项目负责人姓名：；联系电话：。</w:t>
            </w:r>
          </w:p>
          <w:p>
            <w:pPr>
              <w:spacing w:line="360" w:lineRule="auto"/>
              <w:ind w:firstLine="562" w:firstLineChars="200"/>
              <w:jc w:val="left"/>
              <w:rPr>
                <w:rFonts w:ascii="宋体" w:hAnsi="宋体" w:cs="华文仿宋"/>
                <w:b/>
                <w:bCs/>
                <w:sz w:val="28"/>
                <w:szCs w:val="28"/>
              </w:rPr>
            </w:pPr>
            <w:r>
              <w:rPr>
                <w:rFonts w:hint="eastAsia" w:ascii="宋体" w:hAnsi="宋体" w:cs="华文仿宋"/>
                <w:b/>
                <w:bCs/>
                <w:sz w:val="28"/>
                <w:szCs w:val="28"/>
              </w:rPr>
              <w:t>（三）进度安排</w:t>
            </w:r>
          </w:p>
          <w:p>
            <w:pPr>
              <w:tabs>
                <w:tab w:val="left" w:pos="4240"/>
              </w:tabs>
              <w:spacing w:line="360" w:lineRule="auto"/>
              <w:ind w:firstLine="580"/>
              <w:jc w:val="left"/>
              <w:rPr>
                <w:rFonts w:ascii="宋体" w:hAnsi="宋体" w:cs="华文仿宋"/>
                <w:color w:val="000000"/>
                <w:sz w:val="28"/>
                <w:szCs w:val="28"/>
              </w:rPr>
            </w:pPr>
            <w:r>
              <w:rPr>
                <w:rFonts w:hint="eastAsia" w:ascii="宋体" w:hAnsi="宋体" w:cs="华文仿宋"/>
                <w:color w:val="000000"/>
                <w:sz w:val="28"/>
                <w:szCs w:val="28"/>
              </w:rPr>
              <w:t>合同有效期为一年。</w:t>
            </w:r>
            <w:r>
              <w:rPr>
                <w:rFonts w:ascii="宋体" w:hAnsi="宋体" w:cs="华文仿宋"/>
                <w:color w:val="000000"/>
                <w:sz w:val="28"/>
                <w:szCs w:val="28"/>
              </w:rPr>
              <w:t>2020年12月底前完成主要工作任务，剩余的系统维护及测站设备故障处理等工作以合同期为准。</w:t>
            </w:r>
          </w:p>
          <w:p>
            <w:pPr>
              <w:tabs>
                <w:tab w:val="left" w:pos="4240"/>
              </w:tabs>
              <w:spacing w:line="360" w:lineRule="auto"/>
              <w:ind w:firstLine="580"/>
              <w:jc w:val="left"/>
              <w:rPr>
                <w:rFonts w:ascii="宋体" w:hAnsi="宋体" w:cs="华文仿宋"/>
                <w:b/>
                <w:bCs/>
                <w:sz w:val="28"/>
                <w:szCs w:val="28"/>
              </w:rPr>
            </w:pPr>
            <w:r>
              <w:rPr>
                <w:rFonts w:hint="eastAsia" w:ascii="宋体" w:hAnsi="宋体" w:cs="华文仿宋"/>
                <w:b/>
                <w:bCs/>
                <w:sz w:val="28"/>
                <w:szCs w:val="28"/>
              </w:rPr>
              <w:t>三、履行期限、地点和方式</w:t>
            </w:r>
          </w:p>
          <w:p>
            <w:pPr>
              <w:tabs>
                <w:tab w:val="left" w:pos="4240"/>
              </w:tabs>
              <w:spacing w:line="360" w:lineRule="auto"/>
              <w:ind w:firstLine="580"/>
              <w:jc w:val="left"/>
              <w:rPr>
                <w:rFonts w:ascii="宋体" w:hAnsi="宋体" w:cs="华文仿宋"/>
                <w:sz w:val="28"/>
                <w:szCs w:val="28"/>
              </w:rPr>
            </w:pPr>
            <w:r>
              <w:rPr>
                <w:rFonts w:hint="eastAsia" w:ascii="宋体" w:hAnsi="宋体" w:cs="华文仿宋"/>
                <w:sz w:val="28"/>
                <w:szCs w:val="28"/>
              </w:rPr>
              <w:t>本合同自</w:t>
            </w:r>
            <w:r>
              <w:rPr>
                <w:rFonts w:ascii="宋体" w:hAnsi="宋体" w:cs="华文仿宋"/>
                <w:sz w:val="28"/>
                <w:szCs w:val="28"/>
                <w:u w:val="single"/>
              </w:rPr>
              <w:t xml:space="preserve">  2020年 月  日至  年   月  日</w:t>
            </w:r>
            <w:r>
              <w:rPr>
                <w:rFonts w:hint="eastAsia" w:ascii="宋体" w:hAnsi="宋体" w:cs="华文仿宋"/>
                <w:sz w:val="28"/>
                <w:szCs w:val="28"/>
              </w:rPr>
              <w:t>在</w:t>
            </w:r>
            <w:r>
              <w:rPr>
                <w:rFonts w:hint="eastAsia" w:ascii="宋体" w:hAnsi="宋体" w:cs="华文仿宋"/>
                <w:sz w:val="28"/>
                <w:szCs w:val="28"/>
                <w:u w:val="single"/>
              </w:rPr>
              <w:t>安徽省</w:t>
            </w:r>
            <w:r>
              <w:rPr>
                <w:rFonts w:hint="eastAsia" w:ascii="宋体" w:hAnsi="宋体" w:cs="华文仿宋"/>
                <w:sz w:val="28"/>
                <w:szCs w:val="28"/>
              </w:rPr>
              <w:t>履行。</w:t>
            </w:r>
          </w:p>
          <w:p>
            <w:pPr>
              <w:tabs>
                <w:tab w:val="left" w:pos="4240"/>
              </w:tabs>
              <w:spacing w:line="360" w:lineRule="auto"/>
              <w:ind w:firstLine="562" w:firstLineChars="200"/>
              <w:jc w:val="left"/>
              <w:rPr>
                <w:rFonts w:ascii="宋体" w:hAnsi="宋体" w:cs="华文仿宋"/>
                <w:b/>
                <w:bCs/>
                <w:sz w:val="28"/>
                <w:szCs w:val="28"/>
              </w:rPr>
            </w:pPr>
            <w:r>
              <w:rPr>
                <w:rFonts w:hint="eastAsia" w:ascii="宋体" w:hAnsi="宋体" w:cs="华文仿宋"/>
                <w:b/>
                <w:bCs/>
                <w:sz w:val="28"/>
                <w:szCs w:val="28"/>
              </w:rPr>
              <w:t>四、验收标准和方式</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（一）验收标准：</w:t>
            </w:r>
            <w:r>
              <w:rPr>
                <w:rFonts w:hint="eastAsia" w:ascii="宋体" w:hAnsi="宋体" w:cs="华文仿宋"/>
                <w:sz w:val="28"/>
                <w:szCs w:val="28"/>
                <w:u w:val="single"/>
              </w:rPr>
              <w:t>完成合同第一条约定的服务内容并满足技术要求。</w:t>
            </w:r>
          </w:p>
          <w:p>
            <w:pPr>
              <w:tabs>
                <w:tab w:val="left" w:pos="4240"/>
              </w:tabs>
              <w:spacing w:line="360" w:lineRule="auto"/>
              <w:ind w:firstLine="560" w:firstLineChars="200"/>
              <w:jc w:val="left"/>
              <w:rPr>
                <w:rFonts w:ascii="宋体" w:hAnsi="宋体" w:cs="华文仿宋"/>
                <w:sz w:val="28"/>
                <w:szCs w:val="28"/>
                <w:u w:val="single"/>
              </w:rPr>
            </w:pPr>
            <w:r>
              <w:rPr>
                <w:rFonts w:hint="eastAsia" w:ascii="宋体" w:hAnsi="宋体" w:cs="华文仿宋"/>
                <w:sz w:val="28"/>
                <w:szCs w:val="28"/>
              </w:rPr>
              <w:t>（二）验收方式：采用以下第</w:t>
            </w:r>
            <w:r>
              <w:rPr>
                <w:rFonts w:hint="eastAsia" w:ascii="宋体" w:hAnsi="宋体" w:cs="华文仿宋"/>
                <w:sz w:val="28"/>
                <w:szCs w:val="28"/>
                <w:u w:val="single"/>
              </w:rPr>
              <w:t>1</w:t>
            </w:r>
            <w:r>
              <w:rPr>
                <w:rFonts w:hint="eastAsia" w:ascii="宋体" w:hAnsi="宋体" w:cs="华文仿宋"/>
                <w:sz w:val="28"/>
                <w:szCs w:val="28"/>
              </w:rPr>
              <w:t>种方式验收。</w:t>
            </w:r>
          </w:p>
          <w:p>
            <w:pPr>
              <w:tabs>
                <w:tab w:val="left" w:pos="4240"/>
              </w:tabs>
              <w:spacing w:line="360" w:lineRule="auto"/>
              <w:ind w:firstLine="620"/>
              <w:jc w:val="left"/>
              <w:rPr>
                <w:rFonts w:ascii="宋体" w:hAnsi="宋体" w:cs="华文仿宋"/>
                <w:sz w:val="28"/>
                <w:szCs w:val="28"/>
              </w:rPr>
            </w:pPr>
            <w:r>
              <w:rPr>
                <w:rFonts w:hint="eastAsia" w:ascii="宋体" w:hAnsi="宋体" w:cs="华文仿宋"/>
                <w:sz w:val="28"/>
                <w:szCs w:val="28"/>
              </w:rPr>
              <w:t>1、会议验收。</w:t>
            </w:r>
          </w:p>
          <w:p>
            <w:pPr>
              <w:tabs>
                <w:tab w:val="left" w:pos="4240"/>
              </w:tabs>
              <w:spacing w:line="360" w:lineRule="auto"/>
              <w:ind w:firstLine="620"/>
              <w:jc w:val="left"/>
              <w:rPr>
                <w:rFonts w:ascii="宋体" w:hAnsi="宋体" w:cs="华文仿宋"/>
                <w:sz w:val="28"/>
                <w:szCs w:val="28"/>
              </w:rPr>
            </w:pPr>
            <w:r>
              <w:rPr>
                <w:rFonts w:hint="eastAsia" w:ascii="宋体" w:hAnsi="宋体" w:cs="华文仿宋"/>
                <w:sz w:val="28"/>
                <w:szCs w:val="28"/>
              </w:rPr>
              <w:t>2、出具专业证明。</w:t>
            </w:r>
          </w:p>
          <w:p>
            <w:pPr>
              <w:tabs>
                <w:tab w:val="left" w:pos="4240"/>
              </w:tabs>
              <w:spacing w:line="360" w:lineRule="auto"/>
              <w:ind w:firstLine="620"/>
              <w:jc w:val="left"/>
              <w:rPr>
                <w:rFonts w:ascii="宋体" w:hAnsi="宋体" w:cs="华文仿宋"/>
                <w:sz w:val="28"/>
                <w:szCs w:val="28"/>
              </w:rPr>
            </w:pPr>
            <w:r>
              <w:rPr>
                <w:rFonts w:hint="eastAsia" w:ascii="宋体" w:hAnsi="宋体" w:cs="华文仿宋"/>
                <w:sz w:val="28"/>
                <w:szCs w:val="28"/>
              </w:rPr>
              <w:t>3、责任部门认可。</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4、其他（邮件、书信等）。</w:t>
            </w:r>
          </w:p>
          <w:p>
            <w:pPr>
              <w:tabs>
                <w:tab w:val="left" w:pos="4240"/>
              </w:tabs>
              <w:spacing w:line="360" w:lineRule="auto"/>
              <w:ind w:firstLine="580"/>
              <w:jc w:val="left"/>
              <w:rPr>
                <w:rFonts w:ascii="宋体" w:hAnsi="宋体" w:cs="华文仿宋"/>
                <w:sz w:val="28"/>
                <w:szCs w:val="28"/>
              </w:rPr>
            </w:pPr>
            <w:r>
              <w:rPr>
                <w:rFonts w:hint="eastAsia" w:ascii="宋体" w:hAnsi="宋体" w:cs="华文仿宋"/>
                <w:sz w:val="28"/>
                <w:szCs w:val="28"/>
              </w:rPr>
              <w:t>（三）服务保证期：本合同服务项目的保证期为</w:t>
            </w:r>
            <w:r>
              <w:rPr>
                <w:rFonts w:hint="eastAsia" w:ascii="宋体" w:hAnsi="宋体" w:cs="华文仿宋"/>
                <w:sz w:val="28"/>
                <w:szCs w:val="28"/>
                <w:u w:val="single"/>
              </w:rPr>
              <w:t xml:space="preserve">   1   </w:t>
            </w:r>
            <w:r>
              <w:rPr>
                <w:rFonts w:hint="eastAsia" w:ascii="宋体" w:hAnsi="宋体" w:cs="华文仿宋"/>
                <w:sz w:val="28"/>
                <w:szCs w:val="28"/>
              </w:rPr>
              <w:t>年。在保证期内发现服务质量缺陷的，乙方应当负责返工或者采取补救措施。但因甲方使用、保管不当引起问题除外。</w:t>
            </w:r>
          </w:p>
          <w:p>
            <w:pPr>
              <w:tabs>
                <w:tab w:val="left" w:pos="4240"/>
              </w:tabs>
              <w:spacing w:line="360" w:lineRule="auto"/>
              <w:ind w:firstLine="281" w:firstLineChars="100"/>
              <w:jc w:val="left"/>
              <w:rPr>
                <w:rFonts w:ascii="宋体" w:hAnsi="宋体" w:cs="华文仿宋"/>
                <w:b/>
                <w:bCs/>
                <w:sz w:val="28"/>
                <w:szCs w:val="28"/>
              </w:rPr>
            </w:pPr>
            <w:r>
              <w:rPr>
                <w:rFonts w:hint="eastAsia" w:ascii="宋体" w:hAnsi="宋体" w:cs="华文仿宋"/>
                <w:b/>
                <w:bCs/>
                <w:sz w:val="28"/>
                <w:szCs w:val="28"/>
              </w:rPr>
              <w:t>五、报酬及其支付方式</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（一）本项目报酬（技术服务报酬、培训或中介服务报酬，大写）</w:t>
            </w:r>
            <w:r>
              <w:rPr>
                <w:rFonts w:hint="eastAsia" w:ascii="宋体" w:hAnsi="宋体" w:cs="华文仿宋"/>
                <w:sz w:val="28"/>
                <w:szCs w:val="28"/>
                <w:u w:val="single"/>
              </w:rPr>
              <w:t>（大写）   元整（¥   ）</w:t>
            </w:r>
            <w:r>
              <w:rPr>
                <w:rFonts w:hint="eastAsia" w:ascii="宋体" w:hAnsi="宋体" w:cs="华文仿宋"/>
                <w:sz w:val="28"/>
                <w:szCs w:val="28"/>
              </w:rPr>
              <w:t>。</w:t>
            </w:r>
          </w:p>
          <w:p>
            <w:pPr>
              <w:spacing w:line="360" w:lineRule="auto"/>
              <w:ind w:firstLine="560" w:firstLineChars="200"/>
              <w:rPr>
                <w:rFonts w:ascii="宋体" w:hAnsi="宋体" w:cs="华文仿宋"/>
                <w:sz w:val="28"/>
                <w:szCs w:val="28"/>
              </w:rPr>
            </w:pPr>
            <w:r>
              <w:rPr>
                <w:rFonts w:hint="eastAsia" w:ascii="宋体" w:hAnsi="宋体" w:cs="华文仿宋"/>
                <w:sz w:val="28"/>
                <w:szCs w:val="28"/>
              </w:rPr>
              <w:t>合同总金额为完成本合同规定的全部服务内容所需的一切费用。包括看护费、人工、材料、机械、利润、税金、临时占地、青苗补偿以及合同执行期间所发生的各类保险等全部费用。</w:t>
            </w:r>
          </w:p>
          <w:p>
            <w:pPr>
              <w:widowControl/>
              <w:spacing w:line="360" w:lineRule="auto"/>
              <w:ind w:firstLine="560" w:firstLineChars="200"/>
              <w:jc w:val="left"/>
              <w:rPr>
                <w:rFonts w:ascii="宋体" w:hAnsi="宋体" w:cs="华文仿宋"/>
                <w:sz w:val="28"/>
                <w:szCs w:val="28"/>
              </w:rPr>
            </w:pPr>
            <w:r>
              <w:rPr>
                <w:rFonts w:hint="eastAsia" w:ascii="宋体" w:hAnsi="宋体" w:cs="华文仿宋"/>
                <w:sz w:val="28"/>
                <w:szCs w:val="28"/>
              </w:rPr>
              <w:t>在本合同约定的有效期内，费用实行按总价包干，无论工作量变化或其他原因均不调整合同总价。</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（二）支付方式采用以下第</w:t>
            </w:r>
            <w:r>
              <w:rPr>
                <w:rFonts w:hint="eastAsia" w:ascii="宋体" w:hAnsi="宋体" w:cs="华文仿宋"/>
                <w:sz w:val="28"/>
                <w:szCs w:val="28"/>
                <w:u w:val="single"/>
              </w:rPr>
              <w:t xml:space="preserve"> 2 </w:t>
            </w:r>
            <w:r>
              <w:rPr>
                <w:rFonts w:hint="eastAsia" w:ascii="宋体" w:hAnsi="宋体" w:cs="华文仿宋"/>
                <w:sz w:val="28"/>
                <w:szCs w:val="28"/>
              </w:rPr>
              <w:t>种方式：</w:t>
            </w:r>
          </w:p>
          <w:p>
            <w:pPr>
              <w:tabs>
                <w:tab w:val="left" w:pos="4240"/>
              </w:tabs>
              <w:spacing w:line="360" w:lineRule="auto"/>
              <w:ind w:firstLine="580"/>
              <w:jc w:val="left"/>
              <w:rPr>
                <w:rFonts w:ascii="宋体" w:hAnsi="宋体" w:cs="华文仿宋"/>
                <w:sz w:val="28"/>
                <w:szCs w:val="28"/>
                <w:u w:val="single"/>
              </w:rPr>
            </w:pPr>
            <w:r>
              <w:rPr>
                <w:rFonts w:hint="eastAsia" w:ascii="宋体" w:hAnsi="宋体" w:cs="华文仿宋"/>
                <w:sz w:val="28"/>
                <w:szCs w:val="28"/>
              </w:rPr>
              <w:t>1、一次总付</w:t>
            </w:r>
            <w:r>
              <w:rPr>
                <w:rFonts w:hint="eastAsia" w:ascii="宋体" w:hAnsi="宋体" w:cs="华文仿宋"/>
                <w:sz w:val="28"/>
                <w:szCs w:val="28"/>
                <w:u w:val="single"/>
              </w:rPr>
              <w:tab/>
            </w:r>
            <w:r>
              <w:rPr>
                <w:rFonts w:hint="eastAsia" w:ascii="宋体" w:hAnsi="宋体" w:cs="华文仿宋"/>
                <w:sz w:val="28"/>
                <w:szCs w:val="28"/>
              </w:rPr>
              <w:t>元，时间：</w:t>
            </w:r>
            <w:r>
              <w:rPr>
                <w:rFonts w:hint="eastAsia" w:ascii="宋体" w:hAnsi="宋体" w:cs="华文仿宋"/>
                <w:sz w:val="28"/>
                <w:szCs w:val="28"/>
                <w:u w:val="single"/>
              </w:rPr>
              <w:t>　　　　      　　　　</w:t>
            </w:r>
            <w:r>
              <w:rPr>
                <w:rFonts w:hint="eastAsia" w:ascii="宋体" w:hAnsi="宋体" w:cs="华文仿宋"/>
                <w:sz w:val="28"/>
                <w:szCs w:val="28"/>
              </w:rPr>
              <w:t>。</w:t>
            </w:r>
          </w:p>
          <w:p>
            <w:pPr>
              <w:tabs>
                <w:tab w:val="left" w:pos="4240"/>
              </w:tabs>
              <w:spacing w:line="360" w:lineRule="auto"/>
              <w:ind w:firstLine="580"/>
              <w:jc w:val="left"/>
              <w:rPr>
                <w:rFonts w:ascii="宋体" w:hAnsi="宋体" w:cs="华文仿宋"/>
                <w:sz w:val="28"/>
                <w:szCs w:val="28"/>
              </w:rPr>
            </w:pPr>
            <w:r>
              <w:rPr>
                <w:rFonts w:hint="eastAsia" w:ascii="宋体" w:hAnsi="宋体" w:cs="华文仿宋"/>
                <w:sz w:val="28"/>
                <w:szCs w:val="28"/>
              </w:rPr>
              <w:t>2、分期支付：</w:t>
            </w:r>
          </w:p>
          <w:p>
            <w:pPr>
              <w:tabs>
                <w:tab w:val="left" w:pos="4240"/>
              </w:tabs>
              <w:spacing w:line="360" w:lineRule="auto"/>
              <w:ind w:firstLine="580"/>
              <w:jc w:val="left"/>
              <w:rPr>
                <w:rFonts w:ascii="宋体" w:hAnsi="宋体" w:cs="华文仿宋"/>
                <w:sz w:val="28"/>
                <w:szCs w:val="28"/>
              </w:rPr>
            </w:pPr>
            <w:r>
              <w:rPr>
                <w:rFonts w:hint="eastAsia" w:ascii="宋体" w:hAnsi="宋体" w:cs="华文仿宋"/>
                <w:sz w:val="28"/>
                <w:szCs w:val="28"/>
              </w:rPr>
              <w:t>第一次支付</w:t>
            </w:r>
            <w:r>
              <w:rPr>
                <w:rFonts w:hint="eastAsia" w:ascii="宋体" w:hAnsi="宋体" w:cs="华文仿宋"/>
                <w:sz w:val="28"/>
                <w:szCs w:val="28"/>
                <w:u w:val="single"/>
              </w:rPr>
              <w:t>（大写）   元整（¥   ）</w:t>
            </w:r>
            <w:r>
              <w:rPr>
                <w:rFonts w:hint="eastAsia" w:ascii="宋体" w:hAnsi="宋体" w:cs="华文仿宋"/>
                <w:sz w:val="28"/>
                <w:szCs w:val="28"/>
              </w:rPr>
              <w:t>，时间：</w:t>
            </w:r>
            <w:r>
              <w:rPr>
                <w:rFonts w:hint="eastAsia" w:ascii="宋体" w:hAnsi="宋体" w:cs="华文仿宋"/>
                <w:sz w:val="28"/>
                <w:szCs w:val="28"/>
                <w:u w:val="single"/>
              </w:rPr>
              <w:t>　合同签订之日起五个工作日内　</w:t>
            </w:r>
            <w:r>
              <w:rPr>
                <w:rFonts w:hint="eastAsia" w:ascii="宋体" w:hAnsi="宋体" w:cs="华文仿宋"/>
                <w:sz w:val="28"/>
                <w:szCs w:val="28"/>
              </w:rPr>
              <w:t>。如联合体中标，则按承担任务比例分别支付联合体各成员款项。</w:t>
            </w:r>
          </w:p>
          <w:p>
            <w:pPr>
              <w:tabs>
                <w:tab w:val="left" w:pos="4240"/>
              </w:tabs>
              <w:spacing w:line="360" w:lineRule="auto"/>
              <w:jc w:val="left"/>
              <w:rPr>
                <w:rFonts w:ascii="宋体" w:hAnsi="宋体" w:cs="华文仿宋"/>
                <w:sz w:val="28"/>
                <w:szCs w:val="28"/>
              </w:rPr>
            </w:pPr>
            <w:r>
              <w:rPr>
                <w:rFonts w:hint="eastAsia" w:ascii="宋体" w:hAnsi="宋体" w:cs="华文仿宋"/>
                <w:sz w:val="28"/>
                <w:szCs w:val="28"/>
              </w:rPr>
              <w:t>　　第二次支付</w:t>
            </w:r>
            <w:r>
              <w:rPr>
                <w:rFonts w:hint="eastAsia" w:ascii="宋体" w:hAnsi="宋体" w:cs="华文仿宋"/>
                <w:sz w:val="28"/>
                <w:szCs w:val="28"/>
                <w:u w:val="single"/>
              </w:rPr>
              <w:t>（大写）   元整（¥   ）</w:t>
            </w:r>
            <w:r>
              <w:rPr>
                <w:rFonts w:hint="eastAsia" w:ascii="宋体" w:hAnsi="宋体" w:cs="华文仿宋"/>
                <w:sz w:val="28"/>
                <w:szCs w:val="28"/>
              </w:rPr>
              <w:t>，时间：</w:t>
            </w:r>
            <w:r>
              <w:rPr>
                <w:rFonts w:hint="eastAsia" w:ascii="宋体" w:hAnsi="宋体" w:cs="华文仿宋"/>
                <w:sz w:val="28"/>
                <w:szCs w:val="28"/>
                <w:u w:val="single"/>
              </w:rPr>
              <w:t xml:space="preserve">  乙方配合甲方完成中期检查工作，且乙方提交合同总金额3%的履约保函后七个工作日内。</w:t>
            </w:r>
            <w:r>
              <w:rPr>
                <w:rFonts w:hint="eastAsia" w:ascii="宋体" w:hAnsi="宋体" w:cs="华文仿宋"/>
                <w:sz w:val="28"/>
                <w:szCs w:val="28"/>
              </w:rPr>
              <w:t>如联合体中标，则按承担任务比例分别支付联合体各成员款项。</w:t>
            </w:r>
          </w:p>
          <w:p>
            <w:pPr>
              <w:tabs>
                <w:tab w:val="left" w:pos="4240"/>
              </w:tabs>
              <w:spacing w:line="360" w:lineRule="auto"/>
              <w:jc w:val="left"/>
              <w:rPr>
                <w:rFonts w:ascii="宋体" w:hAnsi="宋体" w:cs="华文仿宋"/>
                <w:sz w:val="28"/>
                <w:szCs w:val="28"/>
              </w:rPr>
            </w:pPr>
            <w:r>
              <w:rPr>
                <w:rFonts w:hint="eastAsia" w:ascii="宋体" w:hAnsi="宋体" w:cs="华文仿宋"/>
                <w:sz w:val="28"/>
                <w:szCs w:val="28"/>
              </w:rPr>
              <w:t>　　合同验收合格后七个工作日内退还乙方履约保函。</w:t>
            </w:r>
          </w:p>
          <w:p>
            <w:pPr>
              <w:tabs>
                <w:tab w:val="left" w:pos="4240"/>
              </w:tabs>
              <w:spacing w:line="360" w:lineRule="auto"/>
              <w:ind w:firstLine="580"/>
              <w:jc w:val="left"/>
              <w:rPr>
                <w:rFonts w:ascii="宋体" w:hAnsi="宋体" w:cs="华文仿宋"/>
                <w:sz w:val="28"/>
                <w:szCs w:val="28"/>
              </w:rPr>
            </w:pPr>
            <w:r>
              <w:rPr>
                <w:rFonts w:hint="eastAsia" w:ascii="宋体" w:hAnsi="宋体" w:cs="华文仿宋"/>
                <w:sz w:val="28"/>
                <w:szCs w:val="28"/>
              </w:rPr>
              <w:t>3、其它方式：</w:t>
            </w:r>
          </w:p>
          <w:p>
            <w:pPr>
              <w:tabs>
                <w:tab w:val="left" w:pos="4240"/>
              </w:tabs>
              <w:spacing w:line="360" w:lineRule="auto"/>
              <w:ind w:firstLine="562" w:firstLineChars="200"/>
              <w:jc w:val="left"/>
              <w:rPr>
                <w:rFonts w:ascii="宋体" w:hAnsi="宋体" w:cs="华文仿宋"/>
                <w:b/>
                <w:bCs/>
                <w:sz w:val="28"/>
                <w:szCs w:val="28"/>
              </w:rPr>
            </w:pPr>
            <w:r>
              <w:rPr>
                <w:rFonts w:hint="eastAsia" w:ascii="宋体" w:hAnsi="宋体" w:cs="华文仿宋"/>
                <w:b/>
                <w:bCs/>
                <w:sz w:val="28"/>
                <w:szCs w:val="28"/>
              </w:rPr>
              <w:t>六、违约金或者损失赔偿额的计算</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违反本合同约定，违约方应当按照《中华人民共和国合同法》有关条款的规定承担违约责任。</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（一）违反本合同第</w:t>
            </w:r>
            <w:r>
              <w:rPr>
                <w:rFonts w:hint="eastAsia" w:ascii="宋体" w:hAnsi="宋体" w:cs="华文仿宋"/>
                <w:sz w:val="28"/>
                <w:szCs w:val="28"/>
                <w:u w:val="single"/>
              </w:rPr>
              <w:t>一、二</w:t>
            </w:r>
            <w:r>
              <w:rPr>
                <w:rFonts w:hint="eastAsia" w:ascii="宋体" w:hAnsi="宋体" w:cs="华文仿宋"/>
                <w:sz w:val="28"/>
                <w:szCs w:val="28"/>
              </w:rPr>
              <w:t>条约定，</w:t>
            </w:r>
            <w:r>
              <w:rPr>
                <w:rFonts w:hint="eastAsia" w:ascii="宋体" w:hAnsi="宋体" w:cs="华文仿宋"/>
                <w:sz w:val="28"/>
                <w:szCs w:val="28"/>
                <w:u w:val="single"/>
              </w:rPr>
              <w:t>乙</w:t>
            </w:r>
            <w:r>
              <w:rPr>
                <w:rFonts w:hint="eastAsia" w:ascii="宋体" w:hAnsi="宋体" w:cs="华文仿宋"/>
                <w:sz w:val="28"/>
                <w:szCs w:val="28"/>
              </w:rPr>
              <w:t>方应承担以下违约责任：</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1、乙方提交的技术成果验收不合格的，乙方应当在</w:t>
            </w:r>
            <w:r>
              <w:rPr>
                <w:rFonts w:hint="eastAsia" w:ascii="宋体" w:hAnsi="宋体" w:cs="华文仿宋"/>
                <w:sz w:val="28"/>
                <w:szCs w:val="28"/>
                <w:u w:val="single"/>
              </w:rPr>
              <w:t>5</w:t>
            </w:r>
            <w:r>
              <w:rPr>
                <w:rFonts w:hint="eastAsia" w:ascii="宋体" w:hAnsi="宋体" w:cs="华文仿宋"/>
                <w:sz w:val="28"/>
                <w:szCs w:val="28"/>
              </w:rPr>
              <w:t>日内进行免费修改、完善并提交合格成果。乙方未在规定时限内免费修改、完善并提交合格成果的或提交后甲方再次验收仍不合格的，甲方有权单方解除合同，乙方除应退还甲方支付的所有款项外，还应向甲方支付合同总金额</w:t>
            </w:r>
            <w:r>
              <w:rPr>
                <w:rFonts w:hint="eastAsia" w:ascii="宋体" w:hAnsi="宋体" w:cs="华文仿宋"/>
                <w:sz w:val="28"/>
                <w:szCs w:val="28"/>
                <w:u w:val="single"/>
              </w:rPr>
              <w:t>20</w:t>
            </w:r>
            <w:r>
              <w:rPr>
                <w:rFonts w:hint="eastAsia" w:ascii="宋体" w:hAnsi="宋体" w:cs="华文仿宋"/>
                <w:sz w:val="28"/>
                <w:szCs w:val="28"/>
              </w:rPr>
              <w:t>%的违约金，仍不足以弥补甲方损失的，乙方应全额赔偿。</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2、乙方未按合同约定的进度要求</w:t>
            </w:r>
            <w:r>
              <w:rPr>
                <w:rFonts w:hint="eastAsia" w:ascii="宋体" w:hAnsi="宋体" w:cs="华文仿宋"/>
                <w:sz w:val="28"/>
                <w:szCs w:val="28"/>
                <w:u w:val="single"/>
              </w:rPr>
              <w:t xml:space="preserve"> 30 </w:t>
            </w:r>
            <w:r>
              <w:rPr>
                <w:rFonts w:hint="eastAsia" w:ascii="宋体" w:hAnsi="宋体" w:cs="华文仿宋"/>
                <w:sz w:val="28"/>
                <w:szCs w:val="28"/>
              </w:rPr>
              <w:t>天（月）内完成</w:t>
            </w:r>
            <w:r>
              <w:rPr>
                <w:rFonts w:hint="eastAsia" w:ascii="宋体" w:hAnsi="宋体" w:cs="华文仿宋"/>
                <w:sz w:val="28"/>
                <w:szCs w:val="28"/>
                <w:u w:val="single"/>
              </w:rPr>
              <w:t xml:space="preserve"> 进度 </w:t>
            </w:r>
            <w:r>
              <w:rPr>
                <w:rFonts w:hint="eastAsia" w:ascii="宋体" w:hAnsi="宋体" w:cs="华文仿宋"/>
                <w:sz w:val="28"/>
                <w:szCs w:val="28"/>
              </w:rPr>
              <w:t>任务，每迟延一天，乙方应向甲方支付合同总金额</w:t>
            </w:r>
            <w:r>
              <w:rPr>
                <w:rFonts w:hint="eastAsia" w:ascii="宋体" w:hAnsi="宋体" w:cs="华文仿宋"/>
                <w:sz w:val="28"/>
                <w:szCs w:val="28"/>
                <w:u w:val="single"/>
              </w:rPr>
              <w:t>1</w:t>
            </w:r>
            <w:r>
              <w:rPr>
                <w:rFonts w:hint="eastAsia" w:ascii="宋体" w:hAnsi="宋体" w:cs="华文仿宋"/>
                <w:sz w:val="28"/>
                <w:szCs w:val="28"/>
              </w:rPr>
              <w:t>%的迟延违约金；迟延超过</w:t>
            </w:r>
            <w:r>
              <w:rPr>
                <w:rFonts w:hint="eastAsia" w:ascii="宋体" w:hAnsi="宋体" w:cs="华文仿宋"/>
                <w:sz w:val="28"/>
                <w:szCs w:val="28"/>
                <w:u w:val="single"/>
              </w:rPr>
              <w:t>60</w:t>
            </w:r>
            <w:r>
              <w:rPr>
                <w:rFonts w:hint="eastAsia" w:ascii="宋体" w:hAnsi="宋体" w:cs="华文仿宋"/>
                <w:sz w:val="28"/>
                <w:szCs w:val="28"/>
              </w:rPr>
              <w:t>日的，甲方有权单方解除合同，乙方应退还甲方支付的所有款项，除前述迟延违约金外，乙方还应向甲方支付合同总金额</w:t>
            </w:r>
            <w:r>
              <w:rPr>
                <w:rFonts w:hint="eastAsia" w:ascii="宋体" w:hAnsi="宋体" w:cs="华文仿宋"/>
                <w:sz w:val="28"/>
                <w:szCs w:val="28"/>
                <w:u w:val="single"/>
              </w:rPr>
              <w:t xml:space="preserve"> 20 </w:t>
            </w:r>
            <w:r>
              <w:rPr>
                <w:rFonts w:hint="eastAsia" w:ascii="宋体" w:hAnsi="宋体" w:cs="华文仿宋"/>
                <w:sz w:val="28"/>
                <w:szCs w:val="28"/>
              </w:rPr>
              <w:t>%的违约金，仍不足以弥补甲方损失的，乙方应全额赔偿。</w:t>
            </w:r>
          </w:p>
          <w:p>
            <w:pPr>
              <w:tabs>
                <w:tab w:val="left" w:pos="4240"/>
              </w:tabs>
              <w:spacing w:line="360" w:lineRule="auto"/>
              <w:ind w:firstLine="560" w:firstLineChars="200"/>
              <w:jc w:val="left"/>
              <w:rPr>
                <w:rFonts w:ascii="宋体" w:hAnsi="宋体" w:cs="华文仿宋"/>
                <w:sz w:val="28"/>
                <w:szCs w:val="28"/>
              </w:rPr>
            </w:pPr>
            <w:r>
              <w:rPr>
                <w:rFonts w:hint="eastAsia" w:ascii="宋体" w:hAnsi="宋体" w:cs="华文仿宋"/>
                <w:sz w:val="28"/>
                <w:szCs w:val="28"/>
              </w:rPr>
              <w:t>（二）合同一方违反本合同规定，造成另一方经济损失的，守约方有权要求终止本合同，并由违约方承担赔偿责任。</w:t>
            </w:r>
          </w:p>
          <w:p>
            <w:pPr>
              <w:spacing w:line="360" w:lineRule="auto"/>
              <w:ind w:firstLine="281" w:firstLineChars="100"/>
              <w:jc w:val="left"/>
              <w:rPr>
                <w:rFonts w:ascii="宋体" w:hAnsi="宋体" w:cs="华文仿宋"/>
                <w:b/>
                <w:bCs/>
                <w:sz w:val="28"/>
                <w:szCs w:val="28"/>
              </w:rPr>
            </w:pPr>
            <w:r>
              <w:rPr>
                <w:rFonts w:hint="eastAsia" w:ascii="宋体" w:hAnsi="宋体" w:cs="华文仿宋"/>
                <w:b/>
                <w:bCs/>
                <w:sz w:val="28"/>
                <w:szCs w:val="28"/>
              </w:rPr>
              <w:t>七、解决合同纠纷的方式</w:t>
            </w:r>
          </w:p>
          <w:p>
            <w:pPr>
              <w:spacing w:line="360" w:lineRule="auto"/>
              <w:ind w:firstLine="560"/>
              <w:jc w:val="left"/>
              <w:rPr>
                <w:rFonts w:ascii="宋体" w:hAnsi="宋体" w:cs="华文仿宋"/>
                <w:sz w:val="28"/>
                <w:szCs w:val="28"/>
              </w:rPr>
            </w:pPr>
            <w:r>
              <w:rPr>
                <w:rFonts w:hint="eastAsia" w:ascii="宋体" w:hAnsi="宋体" w:cs="华文仿宋"/>
                <w:sz w:val="28"/>
                <w:szCs w:val="28"/>
              </w:rPr>
              <w:t>在履行本合同的过程中发生争议，双方当事人和解或调解不成，可采取仲裁或司法程序解决。</w:t>
            </w:r>
          </w:p>
          <w:p>
            <w:pPr>
              <w:tabs>
                <w:tab w:val="left" w:pos="4240"/>
              </w:tabs>
              <w:spacing w:line="360" w:lineRule="auto"/>
              <w:jc w:val="left"/>
              <w:rPr>
                <w:rFonts w:ascii="宋体" w:hAnsi="宋体" w:cs="华文仿宋"/>
                <w:sz w:val="28"/>
                <w:szCs w:val="28"/>
              </w:rPr>
            </w:pPr>
            <w:r>
              <w:rPr>
                <w:rFonts w:hint="eastAsia" w:ascii="宋体" w:hAnsi="宋体" w:cs="华文仿宋"/>
                <w:sz w:val="28"/>
                <w:szCs w:val="28"/>
              </w:rPr>
              <w:t>　　（一）双方同意由</w:t>
            </w:r>
            <w:r>
              <w:rPr>
                <w:rFonts w:hint="eastAsia" w:ascii="宋体" w:hAnsi="宋体" w:cs="华文仿宋"/>
                <w:sz w:val="28"/>
                <w:szCs w:val="28"/>
                <w:u w:val="single"/>
              </w:rPr>
              <w:t xml:space="preserve">   北京   </w:t>
            </w:r>
            <w:r>
              <w:rPr>
                <w:rFonts w:hint="eastAsia" w:ascii="宋体" w:hAnsi="宋体" w:cs="华文仿宋"/>
                <w:sz w:val="28"/>
                <w:szCs w:val="28"/>
              </w:rPr>
              <w:t>仲裁委员会仲裁。</w:t>
            </w:r>
          </w:p>
          <w:p>
            <w:pPr>
              <w:spacing w:line="360" w:lineRule="auto"/>
              <w:ind w:firstLine="560"/>
              <w:jc w:val="left"/>
              <w:rPr>
                <w:rFonts w:ascii="宋体" w:hAnsi="宋体" w:cs="华文仿宋"/>
                <w:sz w:val="28"/>
                <w:szCs w:val="28"/>
              </w:rPr>
            </w:pPr>
            <w:r>
              <w:rPr>
                <w:rFonts w:hint="eastAsia" w:ascii="宋体" w:hAnsi="宋体" w:cs="华文仿宋"/>
                <w:sz w:val="28"/>
                <w:szCs w:val="28"/>
              </w:rPr>
              <w:t>（二）双方约定向甲方住所地的人民法院起诉。</w:t>
            </w:r>
          </w:p>
          <w:p>
            <w:pPr>
              <w:spacing w:line="360" w:lineRule="auto"/>
              <w:ind w:firstLine="562" w:firstLineChars="200"/>
              <w:jc w:val="left"/>
              <w:rPr>
                <w:rFonts w:ascii="宋体" w:hAnsi="宋体" w:cs="华文仿宋"/>
                <w:b/>
                <w:bCs/>
                <w:sz w:val="28"/>
                <w:szCs w:val="28"/>
              </w:rPr>
            </w:pPr>
            <w:r>
              <w:rPr>
                <w:rFonts w:hint="eastAsia" w:ascii="宋体" w:hAnsi="宋体" w:cs="华文仿宋"/>
                <w:b/>
                <w:bCs/>
                <w:sz w:val="28"/>
                <w:szCs w:val="28"/>
              </w:rPr>
              <w:t>八、其它</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（一）本合同一式</w:t>
            </w:r>
            <w:r>
              <w:rPr>
                <w:rFonts w:hint="eastAsia" w:ascii="宋体" w:hAnsi="宋体" w:cs="华文仿宋"/>
                <w:sz w:val="28"/>
                <w:szCs w:val="28"/>
                <w:u w:val="single"/>
              </w:rPr>
              <w:t>捌</w:t>
            </w:r>
            <w:r>
              <w:rPr>
                <w:rFonts w:hint="eastAsia" w:ascii="宋体" w:hAnsi="宋体" w:cs="华文仿宋"/>
                <w:sz w:val="28"/>
                <w:szCs w:val="28"/>
              </w:rPr>
              <w:t>份，甲乙双方各执</w:t>
            </w:r>
            <w:r>
              <w:rPr>
                <w:rFonts w:hint="eastAsia" w:ascii="宋体" w:hAnsi="宋体" w:cs="华文仿宋"/>
                <w:sz w:val="28"/>
                <w:szCs w:val="28"/>
                <w:u w:val="single"/>
              </w:rPr>
              <w:t>叁</w:t>
            </w:r>
            <w:r>
              <w:rPr>
                <w:rFonts w:hint="eastAsia" w:ascii="宋体" w:hAnsi="宋体" w:cs="华文仿宋"/>
                <w:sz w:val="28"/>
                <w:szCs w:val="28"/>
              </w:rPr>
              <w:t>份，安徽省水文局</w:t>
            </w:r>
            <w:r>
              <w:rPr>
                <w:rFonts w:hint="eastAsia" w:ascii="宋体" w:hAnsi="宋体" w:cs="华文仿宋"/>
                <w:sz w:val="28"/>
                <w:szCs w:val="28"/>
                <w:u w:val="single"/>
              </w:rPr>
              <w:t>贰</w:t>
            </w:r>
            <w:r>
              <w:rPr>
                <w:rFonts w:hint="eastAsia" w:ascii="宋体" w:hAnsi="宋体" w:cs="华文仿宋"/>
                <w:sz w:val="28"/>
                <w:szCs w:val="28"/>
              </w:rPr>
              <w:t>份。</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（二）本合同双方签字盖章确认自年月日成立并生效。</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（三）因不可抗力原因导致工作不能正常进行的，乙方应及时书面报告甲方，以便双方协商解决。</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（四）乙方须履行保密义务，本合同有关信息、资料未经甲方事先书面允许不得泄露给第三方。</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（五）如乙方不按合同履行义务，严重影响合同执行，甲方有权单方解除合同。</w:t>
            </w:r>
          </w:p>
          <w:p>
            <w:pPr>
              <w:spacing w:line="360" w:lineRule="auto"/>
              <w:ind w:firstLine="560" w:firstLineChars="200"/>
              <w:jc w:val="left"/>
              <w:rPr>
                <w:rFonts w:ascii="宋体" w:hAnsi="宋体" w:cs="华文仿宋"/>
                <w:sz w:val="28"/>
                <w:szCs w:val="28"/>
              </w:rPr>
            </w:pPr>
            <w:r>
              <w:rPr>
                <w:rFonts w:hint="eastAsia" w:ascii="宋体" w:hAnsi="宋体" w:cs="华文仿宋"/>
                <w:sz w:val="28"/>
                <w:szCs w:val="28"/>
              </w:rPr>
              <w:t>（六）其他未尽事宜，双方再行协商并签订补充协议或制定合同附件，补充协议或合同附件经双方盖章后与本合同具有同等法律效力。</w:t>
            </w:r>
          </w:p>
          <w:p>
            <w:pPr>
              <w:spacing w:line="600" w:lineRule="exact"/>
              <w:ind w:firstLine="480" w:firstLineChars="200"/>
              <w:jc w:val="left"/>
              <w:rPr>
                <w:rFonts w:ascii="华文仿宋" w:hAnsi="华文仿宋" w:eastAsia="华文仿宋" w:cs="华文仿宋"/>
                <w:sz w:val="24"/>
                <w:szCs w:val="24"/>
              </w:rPr>
            </w:pPr>
          </w:p>
          <w:p>
            <w:pPr>
              <w:tabs>
                <w:tab w:val="left" w:pos="4240"/>
              </w:tabs>
              <w:spacing w:line="600" w:lineRule="exact"/>
              <w:jc w:val="left"/>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500" w:lineRule="exact"/>
              <w:ind w:left="113" w:right="113"/>
              <w:jc w:val="center"/>
              <w:rPr>
                <w:rFonts w:ascii="华文仿宋" w:hAnsi="华文仿宋" w:eastAsia="华文仿宋" w:cs="华文仿宋"/>
                <w:spacing w:val="20"/>
                <w:sz w:val="24"/>
                <w:szCs w:val="24"/>
              </w:rPr>
            </w:pPr>
            <w:r>
              <w:rPr>
                <w:rFonts w:hint="eastAsia" w:ascii="华文仿宋" w:hAnsi="华文仿宋" w:eastAsia="华文仿宋" w:cs="华文仿宋"/>
                <w:spacing w:val="20"/>
                <w:sz w:val="24"/>
                <w:szCs w:val="24"/>
              </w:rPr>
              <w:t>委托人（甲方）</w:t>
            </w: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名称(或姓名)</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水利部信息中心(签 章)</w:t>
            </w:r>
          </w:p>
        </w:tc>
        <w:tc>
          <w:tcPr>
            <w:tcW w:w="2742" w:type="dxa"/>
            <w:gridSpan w:val="2"/>
            <w:vMerge w:val="restart"/>
            <w:tcBorders>
              <w:top w:val="single" w:color="auto" w:sz="4" w:space="0"/>
              <w:left w:val="single" w:color="auto" w:sz="4" w:space="0"/>
              <w:bottom w:val="single" w:color="auto" w:sz="4" w:space="0"/>
              <w:right w:val="single" w:color="auto" w:sz="4" w:space="0"/>
            </w:tcBorders>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技术合同专用章</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或</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单位公章</w:t>
            </w: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法定代表人</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委托代理人</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联系(经办)人</w:t>
            </w:r>
          </w:p>
          <w:p>
            <w:pPr>
              <w:spacing w:line="600" w:lineRule="exact"/>
              <w:jc w:val="center"/>
              <w:rPr>
                <w:rFonts w:ascii="华文仿宋" w:hAnsi="华文仿宋" w:eastAsia="华文仿宋" w:cs="华文仿宋"/>
                <w:sz w:val="24"/>
                <w:szCs w:val="24"/>
              </w:rPr>
            </w:pP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住  所</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(通讯地址)</w:t>
            </w:r>
          </w:p>
        </w:tc>
        <w:tc>
          <w:tcPr>
            <w:tcW w:w="212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邮政</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编码</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 w:val="24"/>
                <w:szCs w:val="24"/>
              </w:rPr>
            </w:pPr>
          </w:p>
        </w:tc>
        <w:tc>
          <w:tcPr>
            <w:tcW w:w="21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 w:val="24"/>
                <w:szCs w:val="24"/>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781" w:type="dxa"/>
            <w:tcBorders>
              <w:top w:val="single" w:color="auto" w:sz="4" w:space="0"/>
              <w:left w:val="single" w:color="auto" w:sz="4" w:space="0"/>
              <w:bottom w:val="single" w:color="auto" w:sz="4" w:space="0"/>
              <w:right w:val="single" w:color="auto" w:sz="4" w:space="0"/>
            </w:tcBorders>
          </w:tcPr>
          <w:p>
            <w:pPr>
              <w:spacing w:line="6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传真</w:t>
            </w:r>
          </w:p>
        </w:tc>
        <w:tc>
          <w:tcPr>
            <w:tcW w:w="1997" w:type="dxa"/>
            <w:gridSpan w:val="2"/>
            <w:tcBorders>
              <w:top w:val="single" w:color="auto" w:sz="4" w:space="0"/>
              <w:left w:val="single" w:color="auto" w:sz="4" w:space="0"/>
              <w:bottom w:val="single" w:color="auto" w:sz="4" w:space="0"/>
              <w:right w:val="single" w:color="auto" w:sz="4" w:space="0"/>
            </w:tcBorders>
          </w:tcPr>
          <w:p>
            <w:pPr>
              <w:spacing w:line="600" w:lineRule="exact"/>
              <w:jc w:val="left"/>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开户银行</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帐 号</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500" w:lineRule="exact"/>
              <w:ind w:left="113" w:right="113"/>
              <w:jc w:val="center"/>
              <w:rPr>
                <w:rFonts w:ascii="华文仿宋" w:hAnsi="华文仿宋" w:eastAsia="华文仿宋" w:cs="华文仿宋"/>
                <w:sz w:val="24"/>
                <w:szCs w:val="24"/>
              </w:rPr>
            </w:pPr>
            <w:r>
              <w:rPr>
                <w:rFonts w:hint="eastAsia" w:ascii="华文仿宋" w:hAnsi="华文仿宋" w:eastAsia="华文仿宋" w:cs="华文仿宋"/>
                <w:spacing w:val="20"/>
                <w:sz w:val="24"/>
                <w:szCs w:val="24"/>
              </w:rPr>
              <w:t>受托人（乙方）</w:t>
            </w: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名称(或姓名)</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restart"/>
            <w:tcBorders>
              <w:top w:val="single" w:color="auto" w:sz="4" w:space="0"/>
              <w:left w:val="single" w:color="auto" w:sz="4" w:space="0"/>
              <w:bottom w:val="single" w:color="auto" w:sz="4" w:space="0"/>
              <w:right w:val="single" w:color="auto" w:sz="4" w:space="0"/>
            </w:tcBorders>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技术合同专用章</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或</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单位公章</w:t>
            </w:r>
          </w:p>
          <w:p>
            <w:pPr>
              <w:spacing w:line="600" w:lineRule="exact"/>
              <w:jc w:val="left"/>
              <w:rPr>
                <w:rFonts w:ascii="华文仿宋" w:hAnsi="华文仿宋" w:eastAsia="华文仿宋" w:cs="华文仿宋"/>
                <w:sz w:val="24"/>
                <w:szCs w:val="24"/>
              </w:rPr>
            </w:pPr>
          </w:p>
          <w:p>
            <w:pPr>
              <w:spacing w:line="600" w:lineRule="exact"/>
              <w:jc w:val="left"/>
              <w:rPr>
                <w:rFonts w:ascii="华文仿宋" w:hAnsi="华文仿宋" w:eastAsia="华文仿宋" w:cs="华文仿宋"/>
                <w:sz w:val="24"/>
                <w:szCs w:val="24"/>
              </w:rPr>
            </w:pPr>
          </w:p>
          <w:p>
            <w:pPr>
              <w:spacing w:line="600" w:lineRule="exact"/>
              <w:jc w:val="left"/>
              <w:rPr>
                <w:rFonts w:ascii="华文仿宋" w:hAnsi="华文仿宋" w:eastAsia="华文仿宋" w:cs="华文仿宋"/>
                <w:sz w:val="24"/>
                <w:szCs w:val="24"/>
              </w:rPr>
            </w:pPr>
          </w:p>
          <w:p>
            <w:pPr>
              <w:spacing w:line="600" w:lineRule="exact"/>
              <w:jc w:val="left"/>
              <w:rPr>
                <w:rFonts w:ascii="华文仿宋" w:hAnsi="华文仿宋" w:eastAsia="华文仿宋" w:cs="华文仿宋"/>
                <w:sz w:val="24"/>
                <w:szCs w:val="24"/>
              </w:rPr>
            </w:pPr>
          </w:p>
          <w:p>
            <w:pPr>
              <w:spacing w:line="600" w:lineRule="exact"/>
              <w:jc w:val="left"/>
              <w:rPr>
                <w:rFonts w:ascii="华文仿宋" w:hAnsi="华文仿宋" w:eastAsia="华文仿宋" w:cs="华文仿宋"/>
                <w:sz w:val="24"/>
                <w:szCs w:val="24"/>
              </w:rPr>
            </w:pPr>
          </w:p>
          <w:p>
            <w:pPr>
              <w:spacing w:line="600" w:lineRule="exact"/>
              <w:jc w:val="left"/>
              <w:rPr>
                <w:rFonts w:ascii="华文仿宋" w:hAnsi="华文仿宋" w:eastAsia="华文仿宋" w:cs="华文仿宋"/>
                <w:sz w:val="24"/>
                <w:szCs w:val="24"/>
              </w:rPr>
            </w:pPr>
          </w:p>
          <w:p>
            <w:pPr>
              <w:spacing w:line="600" w:lineRule="exact"/>
              <w:jc w:val="left"/>
              <w:rPr>
                <w:rFonts w:ascii="华文仿宋" w:hAnsi="华文仿宋" w:eastAsia="华文仿宋" w:cs="华文仿宋"/>
                <w:sz w:val="24"/>
                <w:szCs w:val="24"/>
              </w:rPr>
            </w:pPr>
          </w:p>
          <w:p>
            <w:pPr>
              <w:spacing w:line="600" w:lineRule="exact"/>
              <w:jc w:val="right"/>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法定代表人</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委托代理人</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联系(经办)人</w:t>
            </w:r>
          </w:p>
          <w:p>
            <w:pPr>
              <w:spacing w:line="600" w:lineRule="exact"/>
              <w:jc w:val="center"/>
              <w:rPr>
                <w:rFonts w:ascii="华文仿宋" w:hAnsi="华文仿宋" w:eastAsia="华文仿宋" w:cs="华文仿宋"/>
                <w:sz w:val="24"/>
                <w:szCs w:val="24"/>
              </w:rPr>
            </w:pP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right"/>
              <w:rPr>
                <w:rFonts w:ascii="华文仿宋" w:hAnsi="华文仿宋" w:eastAsia="华文仿宋" w:cs="华文仿宋"/>
                <w:sz w:val="24"/>
                <w:szCs w:val="24"/>
              </w:rPr>
            </w:pPr>
            <w:r>
              <w:rPr>
                <w:rFonts w:hint="eastAsia" w:ascii="华文仿宋" w:hAnsi="华文仿宋" w:eastAsia="华文仿宋" w:cs="华文仿宋"/>
                <w:sz w:val="24"/>
                <w:szCs w:val="24"/>
              </w:rPr>
              <w:t>（签　章）</w:t>
            </w: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住  所</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(通讯地址)</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邮政</w:t>
            </w:r>
          </w:p>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编码</w:t>
            </w:r>
          </w:p>
        </w:tc>
        <w:tc>
          <w:tcPr>
            <w:tcW w:w="1200" w:type="dxa"/>
            <w:tcBorders>
              <w:top w:val="single" w:color="auto" w:sz="4" w:space="0"/>
              <w:left w:val="single" w:color="auto" w:sz="4" w:space="0"/>
              <w:bottom w:val="single" w:color="auto" w:sz="4" w:space="0"/>
              <w:right w:val="single" w:color="auto" w:sz="4" w:space="0"/>
            </w:tcBorders>
          </w:tcPr>
          <w:p>
            <w:pPr>
              <w:spacing w:line="600" w:lineRule="exact"/>
              <w:jc w:val="left"/>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13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传真</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开户银行</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632"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华文仿宋" w:hAnsi="华文仿宋" w:eastAsia="华文仿宋" w:cs="华文仿宋"/>
                <w:sz w:val="24"/>
                <w:szCs w:val="24"/>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帐　号</w:t>
            </w:r>
          </w:p>
        </w:tc>
        <w:tc>
          <w:tcPr>
            <w:tcW w:w="411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仿宋" w:hAnsi="华文仿宋" w:eastAsia="华文仿宋" w:cs="华文仿宋"/>
                <w:sz w:val="24"/>
                <w:szCs w:val="24"/>
              </w:rPr>
            </w:pPr>
          </w:p>
        </w:tc>
        <w:tc>
          <w:tcPr>
            <w:tcW w:w="2742" w:type="dxa"/>
            <w:gridSpan w:val="2"/>
            <w:vMerge w:val="continue"/>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sz w:val="24"/>
                <w:szCs w:val="24"/>
              </w:rPr>
            </w:pPr>
          </w:p>
        </w:tc>
      </w:tr>
    </w:tbl>
    <w:p>
      <w:pPr>
        <w:rPr>
          <w:rFonts w:ascii="宋体" w:hAnsi="宋体"/>
          <w:bCs/>
          <w:sz w:val="24"/>
          <w:szCs w:val="24"/>
        </w:rPr>
      </w:pPr>
    </w:p>
    <w:p>
      <w:pPr>
        <w:rPr>
          <w:rFonts w:ascii="宋体" w:hAnsi="宋体"/>
          <w:bCs/>
          <w:sz w:val="24"/>
          <w:szCs w:val="24"/>
        </w:rPr>
      </w:pPr>
    </w:p>
    <w:p>
      <w:pPr>
        <w:rPr>
          <w:rFonts w:ascii="宋体" w:hAnsi="宋体"/>
          <w:bCs/>
          <w:sz w:val="24"/>
          <w:szCs w:val="24"/>
        </w:rPr>
      </w:pPr>
      <w:r>
        <w:rPr>
          <w:rFonts w:hint="eastAsia" w:ascii="宋体" w:hAnsi="宋体"/>
          <w:bCs/>
          <w:sz w:val="24"/>
          <w:szCs w:val="24"/>
        </w:rPr>
        <w:t>备注说明：</w:t>
      </w:r>
    </w:p>
    <w:p>
      <w:pPr>
        <w:ind w:firstLine="480" w:firstLineChars="200"/>
        <w:rPr>
          <w:rFonts w:ascii="宋体" w:hAnsi="宋体"/>
          <w:bCs/>
          <w:sz w:val="24"/>
          <w:szCs w:val="24"/>
        </w:rPr>
      </w:pPr>
      <w:r>
        <w:rPr>
          <w:rFonts w:hint="eastAsia" w:ascii="宋体" w:hAnsi="宋体"/>
          <w:bCs/>
          <w:sz w:val="24"/>
          <w:szCs w:val="24"/>
        </w:rPr>
        <w:t>1.本范本根据《政府采购法》、《合同法》等法律法规制定。</w:t>
      </w:r>
      <w:r>
        <w:rPr>
          <w:rFonts w:ascii="宋体" w:hAnsi="宋体"/>
          <w:bCs/>
          <w:sz w:val="24"/>
          <w:szCs w:val="24"/>
        </w:rPr>
        <w:t>具体项目的采购合同条款，在本范本框架内由</w:t>
      </w:r>
      <w:r>
        <w:rPr>
          <w:rFonts w:hint="eastAsia" w:ascii="宋体" w:hAnsi="宋体"/>
          <w:bCs/>
          <w:sz w:val="24"/>
          <w:szCs w:val="24"/>
        </w:rPr>
        <w:t>双</w:t>
      </w:r>
      <w:r>
        <w:rPr>
          <w:rFonts w:ascii="宋体" w:hAnsi="宋体"/>
          <w:bCs/>
          <w:sz w:val="24"/>
          <w:szCs w:val="24"/>
        </w:rPr>
        <w:t>方协商一致签订。</w:t>
      </w:r>
      <w:r>
        <w:rPr>
          <w:rFonts w:hint="eastAsia" w:ascii="宋体" w:hAnsi="宋体"/>
          <w:bCs/>
          <w:sz w:val="24"/>
          <w:szCs w:val="24"/>
        </w:rPr>
        <w:t>空格处划横线。</w:t>
      </w:r>
    </w:p>
    <w:p>
      <w:pPr>
        <w:ind w:firstLine="480" w:firstLineChars="200"/>
        <w:rPr>
          <w:rFonts w:ascii="宋体" w:hAnsi="宋体"/>
          <w:bCs/>
          <w:sz w:val="24"/>
          <w:szCs w:val="24"/>
        </w:rPr>
      </w:pPr>
      <w:r>
        <w:rPr>
          <w:rFonts w:hint="eastAsia" w:ascii="宋体" w:hAnsi="宋体"/>
          <w:bCs/>
          <w:sz w:val="24"/>
          <w:szCs w:val="24"/>
        </w:rPr>
        <w:t>2.原则上项目中标单位名称、乙方单位名称应与开具发票单位名称相一致。</w:t>
      </w:r>
    </w:p>
    <w:p>
      <w:pPr>
        <w:ind w:firstLine="480" w:firstLineChars="200"/>
        <w:rPr>
          <w:rFonts w:ascii="宋体" w:hAnsi="宋体"/>
          <w:bCs/>
          <w:sz w:val="24"/>
          <w:szCs w:val="24"/>
        </w:rPr>
      </w:pPr>
      <w:r>
        <w:rPr>
          <w:rFonts w:hint="eastAsia" w:ascii="宋体" w:hAnsi="宋体"/>
          <w:bCs/>
          <w:sz w:val="24"/>
          <w:szCs w:val="24"/>
        </w:rPr>
        <w:t>3.甲方、乙方应盖本单位公章或合同专用章，合同双方应盖骑缝章。</w:t>
      </w:r>
    </w:p>
    <w:p>
      <w:pPr>
        <w:ind w:firstLine="480" w:firstLineChars="200"/>
        <w:rPr>
          <w:rFonts w:ascii="宋体" w:hAnsi="宋体"/>
          <w:bCs/>
          <w:color w:val="000000"/>
          <w:sz w:val="24"/>
          <w:szCs w:val="24"/>
        </w:rPr>
      </w:pPr>
      <w:r>
        <w:rPr>
          <w:rFonts w:ascii="宋体" w:hAnsi="宋体"/>
          <w:bCs/>
          <w:color w:val="000000"/>
          <w:sz w:val="24"/>
          <w:szCs w:val="24"/>
        </w:rPr>
        <w:t>4.</w:t>
      </w:r>
      <w:r>
        <w:rPr>
          <w:rFonts w:hint="eastAsia" w:ascii="宋体" w:hAnsi="宋体"/>
          <w:bCs/>
          <w:color w:val="000000"/>
          <w:sz w:val="24"/>
          <w:szCs w:val="24"/>
        </w:rPr>
        <w:t>如为联合体中标，需要投标牵头单位及成员单位同时签字盖章。</w:t>
      </w:r>
    </w:p>
    <w:p>
      <w:pPr>
        <w:widowControl/>
        <w:jc w:val="left"/>
        <w:rPr>
          <w:rFonts w:ascii="宋体" w:hAnsi="宋体"/>
          <w:sz w:val="28"/>
          <w:szCs w:val="28"/>
        </w:rPr>
      </w:pPr>
    </w:p>
    <w:p>
      <w:pPr>
        <w:rPr>
          <w:color w:val="000000" w:themeColor="text1"/>
          <w:sz w:val="28"/>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pStyle w:val="2"/>
        <w:ind w:firstLine="560"/>
        <w:rPr>
          <w:color w:val="000000" w:themeColor="text1"/>
        </w:rPr>
      </w:pPr>
    </w:p>
    <w:p>
      <w:pPr>
        <w:rPr>
          <w:rFonts w:asciiTheme="minorEastAsia" w:hAnsiTheme="minorEastAsia" w:eastAsiaTheme="minorEastAsia"/>
          <w:color w:val="000000" w:themeColor="text1"/>
          <w:sz w:val="28"/>
          <w:szCs w:val="28"/>
        </w:rPr>
      </w:pPr>
    </w:p>
    <w:sectPr>
      <w:headerReference r:id="rId9" w:type="first"/>
      <w:pgSz w:w="11907" w:h="16840"/>
      <w:pgMar w:top="1440" w:right="1247" w:bottom="1440" w:left="1247" w:header="567" w:footer="992"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decorative"/>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标宋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w:t>
    </w:r>
    <w:r>
      <w:rPr>
        <w:lang w:val="zh-CN"/>
      </w:rP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9</w:t>
    </w:r>
    <w:r>
      <w:rPr>
        <w:lang w:val="zh-CN"/>
      </w:rP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62</w:t>
    </w:r>
    <w:r>
      <w:rPr>
        <w:rStyle w:val="45"/>
      </w:rP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E32F8"/>
    <w:multiLevelType w:val="singleLevel"/>
    <w:tmpl w:val="B36E32F8"/>
    <w:lvl w:ilvl="0" w:tentative="0">
      <w:start w:val="3"/>
      <w:numFmt w:val="chineseCounting"/>
      <w:suff w:val="nothing"/>
      <w:lvlText w:val="（%1）"/>
      <w:lvlJc w:val="left"/>
      <w:rPr>
        <w:rFonts w:hint="eastAsia"/>
      </w:rPr>
    </w:lvl>
  </w:abstractNum>
  <w:abstractNum w:abstractNumId="1">
    <w:nsid w:val="D4889C98"/>
    <w:multiLevelType w:val="singleLevel"/>
    <w:tmpl w:val="D4889C98"/>
    <w:lvl w:ilvl="0" w:tentative="0">
      <w:start w:val="3"/>
      <w:numFmt w:val="decimal"/>
      <w:suff w:val="nothing"/>
      <w:lvlText w:val="%1、"/>
      <w:lvlJc w:val="left"/>
    </w:lvl>
  </w:abstractNum>
  <w:abstractNum w:abstractNumId="2">
    <w:nsid w:val="D74D394C"/>
    <w:multiLevelType w:val="singleLevel"/>
    <w:tmpl w:val="D74D394C"/>
    <w:lvl w:ilvl="0" w:tentative="0">
      <w:start w:val="6"/>
      <w:numFmt w:val="chineseCounting"/>
      <w:suff w:val="nothing"/>
      <w:lvlText w:val="%1、"/>
      <w:lvlJc w:val="left"/>
      <w:rPr>
        <w:rFonts w:hint="eastAsia"/>
      </w:rPr>
    </w:lvl>
  </w:abstractNum>
  <w:abstractNum w:abstractNumId="3">
    <w:nsid w:val="29C701CD"/>
    <w:multiLevelType w:val="singleLevel"/>
    <w:tmpl w:val="29C701CD"/>
    <w:lvl w:ilvl="0" w:tentative="0">
      <w:start w:val="4"/>
      <w:numFmt w:val="chineseCounting"/>
      <w:suff w:val="nothing"/>
      <w:lvlText w:val="（%1）"/>
      <w:lvlJc w:val="left"/>
      <w:rPr>
        <w:rFonts w:hint="eastAsia"/>
      </w:rPr>
    </w:lvl>
  </w:abstractNum>
  <w:abstractNum w:abstractNumId="4">
    <w:nsid w:val="45F631BE"/>
    <w:multiLevelType w:val="multilevel"/>
    <w:tmpl w:val="45F631BE"/>
    <w:lvl w:ilvl="0" w:tentative="0">
      <w:start w:val="6"/>
      <w:numFmt w:val="japaneseCounting"/>
      <w:lvlText w:val="%1、"/>
      <w:lvlJc w:val="left"/>
      <w:pPr>
        <w:ind w:left="1262" w:hanging="66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5">
    <w:nsid w:val="471114BE"/>
    <w:multiLevelType w:val="multilevel"/>
    <w:tmpl w:val="471114BE"/>
    <w:lvl w:ilvl="0" w:tentative="0">
      <w:start w:val="4"/>
      <w:numFmt w:val="decimal"/>
      <w:lvlText w:val="%1."/>
      <w:lvlJc w:val="left"/>
      <w:pPr>
        <w:tabs>
          <w:tab w:val="left" w:pos="425"/>
        </w:tabs>
        <w:ind w:left="425" w:hanging="425"/>
      </w:pPr>
      <w:rPr>
        <w:rFonts w:hint="eastAsia"/>
        <w:sz w:val="44"/>
      </w:rPr>
    </w:lvl>
    <w:lvl w:ilvl="1" w:tentative="0">
      <w:start w:val="2"/>
      <w:numFmt w:val="decimal"/>
      <w:lvlText w:val="%1.%2."/>
      <w:lvlJc w:val="left"/>
      <w:pPr>
        <w:tabs>
          <w:tab w:val="left" w:pos="567"/>
        </w:tabs>
        <w:ind w:left="567" w:hanging="567"/>
      </w:pPr>
      <w:rPr>
        <w:rFonts w:hint="eastAsia"/>
        <w:b w:val="0"/>
        <w:i w:val="0"/>
        <w:sz w:val="32"/>
      </w:rPr>
    </w:lvl>
    <w:lvl w:ilvl="2" w:tentative="0">
      <w:start w:val="1"/>
      <w:numFmt w:val="decimal"/>
      <w:lvlText w:val="%1.%2.%3."/>
      <w:lvlJc w:val="left"/>
      <w:pPr>
        <w:tabs>
          <w:tab w:val="left" w:pos="709"/>
        </w:tabs>
        <w:ind w:left="709" w:hanging="709"/>
      </w:pPr>
      <w:rPr>
        <w:rFonts w:hint="eastAsia"/>
      </w:rPr>
    </w:lvl>
    <w:lvl w:ilvl="3" w:tentative="0">
      <w:start w:val="1"/>
      <w:numFmt w:val="decimal"/>
      <w:pStyle w:val="6"/>
      <w:isLgl/>
      <w:suff w:val="space"/>
      <w:lvlText w:val="%1.%2.%3.%4"/>
      <w:lvlJc w:val="left"/>
      <w:pPr>
        <w:ind w:left="851" w:hanging="851"/>
      </w:pPr>
      <w:rPr>
        <w:rFonts w:hint="eastAsia"/>
      </w:rPr>
    </w:lvl>
    <w:lvl w:ilvl="4" w:tentative="0">
      <w:start w:val="1"/>
      <w:numFmt w:val="decima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88E3D2E"/>
    <w:multiLevelType w:val="multilevel"/>
    <w:tmpl w:val="488E3D2E"/>
    <w:lvl w:ilvl="0" w:tentative="0">
      <w:start w:val="1"/>
      <w:numFmt w:val="decimal"/>
      <w:lvlText w:val="（%1）"/>
      <w:lvlJc w:val="left"/>
      <w:pPr>
        <w:ind w:left="1259" w:hanging="420"/>
      </w:pPr>
      <w:rPr>
        <w:rFonts w:hint="default"/>
      </w:rPr>
    </w:lvl>
    <w:lvl w:ilvl="1" w:tentative="0">
      <w:start w:val="1"/>
      <w:numFmt w:val="decimal"/>
      <w:lvlText w:val="（%2）"/>
      <w:lvlJc w:val="left"/>
      <w:pPr>
        <w:ind w:left="1679" w:hanging="420"/>
      </w:pPr>
      <w:rPr>
        <w:rFonts w:hint="default"/>
      </w:r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7">
    <w:nsid w:val="74553356"/>
    <w:multiLevelType w:val="multilevel"/>
    <w:tmpl w:val="74553356"/>
    <w:lvl w:ilvl="0" w:tentative="0">
      <w:start w:val="1"/>
      <w:numFmt w:val="chineseCountingThousand"/>
      <w:suff w:val="space"/>
      <w:lvlText w:val="第%1章"/>
      <w:lvlJc w:val="left"/>
      <w:pPr>
        <w:ind w:left="0" w:firstLine="0"/>
      </w:pPr>
      <w:rPr>
        <w:rFonts w:hint="eastAsia" w:eastAsia="黑体"/>
        <w:sz w:val="44"/>
      </w:rPr>
    </w:lvl>
    <w:lvl w:ilvl="1" w:tentative="0">
      <w:start w:val="1"/>
      <w:numFmt w:val="decimal"/>
      <w:isLgl/>
      <w:suff w:val="space"/>
      <w:lvlText w:val="%1.%2"/>
      <w:lvlJc w:val="left"/>
      <w:pPr>
        <w:ind w:left="0" w:firstLine="0"/>
      </w:pPr>
      <w:rPr>
        <w:rFonts w:hint="eastAsia" w:eastAsia="黑体"/>
        <w:b w:val="0"/>
        <w:i w:val="0"/>
        <w:sz w:val="32"/>
      </w:rPr>
    </w:lvl>
    <w:lvl w:ilvl="2" w:tentative="0">
      <w:start w:val="1"/>
      <w:numFmt w:val="decimal"/>
      <w:pStyle w:val="5"/>
      <w:isLgl/>
      <w:suff w:val="space"/>
      <w:lvlText w:val="%1.%2.%3"/>
      <w:lvlJc w:val="left"/>
      <w:pPr>
        <w:ind w:left="1043" w:hanging="333"/>
      </w:pPr>
      <w:rPr>
        <w:rFonts w:hint="default" w:ascii="Arial" w:hAnsi="Arial" w:eastAsia="宋体" w:cs="Arial"/>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2EB5"/>
    <w:rsid w:val="0000022C"/>
    <w:rsid w:val="000009FC"/>
    <w:rsid w:val="00000A65"/>
    <w:rsid w:val="00002142"/>
    <w:rsid w:val="000021A6"/>
    <w:rsid w:val="00002EA4"/>
    <w:rsid w:val="0000436B"/>
    <w:rsid w:val="00004BC3"/>
    <w:rsid w:val="00005068"/>
    <w:rsid w:val="00007BEE"/>
    <w:rsid w:val="00010BA2"/>
    <w:rsid w:val="00011204"/>
    <w:rsid w:val="00012A0B"/>
    <w:rsid w:val="00013915"/>
    <w:rsid w:val="00013FA1"/>
    <w:rsid w:val="00014132"/>
    <w:rsid w:val="000142D3"/>
    <w:rsid w:val="00015AD0"/>
    <w:rsid w:val="00016967"/>
    <w:rsid w:val="000178DE"/>
    <w:rsid w:val="00021381"/>
    <w:rsid w:val="00021BCB"/>
    <w:rsid w:val="0002478E"/>
    <w:rsid w:val="00026112"/>
    <w:rsid w:val="00026689"/>
    <w:rsid w:val="000270AE"/>
    <w:rsid w:val="00027656"/>
    <w:rsid w:val="00027E85"/>
    <w:rsid w:val="00030294"/>
    <w:rsid w:val="00030B03"/>
    <w:rsid w:val="00032602"/>
    <w:rsid w:val="000326BB"/>
    <w:rsid w:val="00032950"/>
    <w:rsid w:val="00032FEE"/>
    <w:rsid w:val="000333FF"/>
    <w:rsid w:val="0003606E"/>
    <w:rsid w:val="000367D8"/>
    <w:rsid w:val="00036BDE"/>
    <w:rsid w:val="00036CDF"/>
    <w:rsid w:val="000376B3"/>
    <w:rsid w:val="00037F67"/>
    <w:rsid w:val="00041474"/>
    <w:rsid w:val="000414AF"/>
    <w:rsid w:val="00042279"/>
    <w:rsid w:val="00043592"/>
    <w:rsid w:val="00045F68"/>
    <w:rsid w:val="00046DB3"/>
    <w:rsid w:val="00051907"/>
    <w:rsid w:val="000519D2"/>
    <w:rsid w:val="000534BC"/>
    <w:rsid w:val="00053B2B"/>
    <w:rsid w:val="00054AA1"/>
    <w:rsid w:val="00055927"/>
    <w:rsid w:val="00056CF7"/>
    <w:rsid w:val="0006056D"/>
    <w:rsid w:val="0006103D"/>
    <w:rsid w:val="000623AB"/>
    <w:rsid w:val="000639E8"/>
    <w:rsid w:val="00063A27"/>
    <w:rsid w:val="00065AB8"/>
    <w:rsid w:val="000662D6"/>
    <w:rsid w:val="00070C8C"/>
    <w:rsid w:val="00070FA8"/>
    <w:rsid w:val="00072364"/>
    <w:rsid w:val="0007342B"/>
    <w:rsid w:val="00074E0F"/>
    <w:rsid w:val="000760E8"/>
    <w:rsid w:val="00076805"/>
    <w:rsid w:val="0007701D"/>
    <w:rsid w:val="00077998"/>
    <w:rsid w:val="00077B2E"/>
    <w:rsid w:val="00081B79"/>
    <w:rsid w:val="00081C83"/>
    <w:rsid w:val="00085F0E"/>
    <w:rsid w:val="000867E2"/>
    <w:rsid w:val="00090444"/>
    <w:rsid w:val="00096240"/>
    <w:rsid w:val="00096274"/>
    <w:rsid w:val="00096F82"/>
    <w:rsid w:val="000A1CA4"/>
    <w:rsid w:val="000A1CD2"/>
    <w:rsid w:val="000A1F43"/>
    <w:rsid w:val="000A4A3C"/>
    <w:rsid w:val="000A5000"/>
    <w:rsid w:val="000A5A79"/>
    <w:rsid w:val="000A6111"/>
    <w:rsid w:val="000A66F8"/>
    <w:rsid w:val="000A6770"/>
    <w:rsid w:val="000A6CFC"/>
    <w:rsid w:val="000A778A"/>
    <w:rsid w:val="000A7964"/>
    <w:rsid w:val="000B0828"/>
    <w:rsid w:val="000B08F7"/>
    <w:rsid w:val="000B0C53"/>
    <w:rsid w:val="000B19F7"/>
    <w:rsid w:val="000B281B"/>
    <w:rsid w:val="000B5C6E"/>
    <w:rsid w:val="000B6A5E"/>
    <w:rsid w:val="000B6E3A"/>
    <w:rsid w:val="000C0427"/>
    <w:rsid w:val="000C268B"/>
    <w:rsid w:val="000C2D19"/>
    <w:rsid w:val="000C2F0F"/>
    <w:rsid w:val="000C3C5D"/>
    <w:rsid w:val="000C432D"/>
    <w:rsid w:val="000C711F"/>
    <w:rsid w:val="000D0F55"/>
    <w:rsid w:val="000D1E49"/>
    <w:rsid w:val="000D4F7B"/>
    <w:rsid w:val="000D5449"/>
    <w:rsid w:val="000D7F02"/>
    <w:rsid w:val="000E0171"/>
    <w:rsid w:val="000E3EA8"/>
    <w:rsid w:val="000E56BB"/>
    <w:rsid w:val="000E7710"/>
    <w:rsid w:val="000E7BE4"/>
    <w:rsid w:val="000F0291"/>
    <w:rsid w:val="000F1B2A"/>
    <w:rsid w:val="000F214F"/>
    <w:rsid w:val="000F2B68"/>
    <w:rsid w:val="000F4EF6"/>
    <w:rsid w:val="000F6437"/>
    <w:rsid w:val="000F6671"/>
    <w:rsid w:val="000F7C9D"/>
    <w:rsid w:val="00102968"/>
    <w:rsid w:val="001037AF"/>
    <w:rsid w:val="001045D4"/>
    <w:rsid w:val="001049F2"/>
    <w:rsid w:val="001058F2"/>
    <w:rsid w:val="00106AD8"/>
    <w:rsid w:val="001073D8"/>
    <w:rsid w:val="00110E1E"/>
    <w:rsid w:val="00111074"/>
    <w:rsid w:val="00113217"/>
    <w:rsid w:val="0011365C"/>
    <w:rsid w:val="001139C9"/>
    <w:rsid w:val="00115703"/>
    <w:rsid w:val="00115A3D"/>
    <w:rsid w:val="001218C9"/>
    <w:rsid w:val="00125C48"/>
    <w:rsid w:val="00130429"/>
    <w:rsid w:val="00130F1E"/>
    <w:rsid w:val="001325FA"/>
    <w:rsid w:val="00132CD9"/>
    <w:rsid w:val="00133DB9"/>
    <w:rsid w:val="00134642"/>
    <w:rsid w:val="00134B15"/>
    <w:rsid w:val="00135A3A"/>
    <w:rsid w:val="00135E2A"/>
    <w:rsid w:val="00140625"/>
    <w:rsid w:val="00140960"/>
    <w:rsid w:val="001454A8"/>
    <w:rsid w:val="00145702"/>
    <w:rsid w:val="00145D30"/>
    <w:rsid w:val="00146683"/>
    <w:rsid w:val="0014668A"/>
    <w:rsid w:val="001469A9"/>
    <w:rsid w:val="00147521"/>
    <w:rsid w:val="00147BB0"/>
    <w:rsid w:val="00152CF2"/>
    <w:rsid w:val="00154E33"/>
    <w:rsid w:val="001559B7"/>
    <w:rsid w:val="001559BF"/>
    <w:rsid w:val="00156817"/>
    <w:rsid w:val="00157B65"/>
    <w:rsid w:val="00160D2F"/>
    <w:rsid w:val="00161373"/>
    <w:rsid w:val="00162F6D"/>
    <w:rsid w:val="00163645"/>
    <w:rsid w:val="001644B4"/>
    <w:rsid w:val="00164976"/>
    <w:rsid w:val="00164996"/>
    <w:rsid w:val="00164EB0"/>
    <w:rsid w:val="00165451"/>
    <w:rsid w:val="0016548E"/>
    <w:rsid w:val="00167F0A"/>
    <w:rsid w:val="001715FA"/>
    <w:rsid w:val="00171A62"/>
    <w:rsid w:val="0017262C"/>
    <w:rsid w:val="001737C5"/>
    <w:rsid w:val="00173E7E"/>
    <w:rsid w:val="00174FE7"/>
    <w:rsid w:val="0018385A"/>
    <w:rsid w:val="0019511F"/>
    <w:rsid w:val="0019704F"/>
    <w:rsid w:val="001A3853"/>
    <w:rsid w:val="001A4165"/>
    <w:rsid w:val="001A4F42"/>
    <w:rsid w:val="001A539A"/>
    <w:rsid w:val="001A72C0"/>
    <w:rsid w:val="001B0043"/>
    <w:rsid w:val="001B045F"/>
    <w:rsid w:val="001B19BA"/>
    <w:rsid w:val="001B1BD8"/>
    <w:rsid w:val="001B2901"/>
    <w:rsid w:val="001B3506"/>
    <w:rsid w:val="001B4CB9"/>
    <w:rsid w:val="001B5CED"/>
    <w:rsid w:val="001B64BD"/>
    <w:rsid w:val="001B6648"/>
    <w:rsid w:val="001B7F6A"/>
    <w:rsid w:val="001C097E"/>
    <w:rsid w:val="001C0C69"/>
    <w:rsid w:val="001C288A"/>
    <w:rsid w:val="001C4D8A"/>
    <w:rsid w:val="001C7142"/>
    <w:rsid w:val="001C7785"/>
    <w:rsid w:val="001D0B02"/>
    <w:rsid w:val="001D0C20"/>
    <w:rsid w:val="001D1240"/>
    <w:rsid w:val="001D233A"/>
    <w:rsid w:val="001D6068"/>
    <w:rsid w:val="001D6301"/>
    <w:rsid w:val="001D6779"/>
    <w:rsid w:val="001D6837"/>
    <w:rsid w:val="001E4781"/>
    <w:rsid w:val="001E52C6"/>
    <w:rsid w:val="001F1AC9"/>
    <w:rsid w:val="001F41B8"/>
    <w:rsid w:val="001F4F43"/>
    <w:rsid w:val="00200351"/>
    <w:rsid w:val="00201E32"/>
    <w:rsid w:val="00204B3A"/>
    <w:rsid w:val="00205279"/>
    <w:rsid w:val="00207F09"/>
    <w:rsid w:val="00217DCE"/>
    <w:rsid w:val="0022008A"/>
    <w:rsid w:val="00222294"/>
    <w:rsid w:val="00222571"/>
    <w:rsid w:val="0022436D"/>
    <w:rsid w:val="002310D5"/>
    <w:rsid w:val="00231EC9"/>
    <w:rsid w:val="00232A86"/>
    <w:rsid w:val="00232AE3"/>
    <w:rsid w:val="00233F12"/>
    <w:rsid w:val="00233F47"/>
    <w:rsid w:val="0023756B"/>
    <w:rsid w:val="0023779D"/>
    <w:rsid w:val="00240578"/>
    <w:rsid w:val="002407C6"/>
    <w:rsid w:val="00243A4E"/>
    <w:rsid w:val="00247D87"/>
    <w:rsid w:val="00250D68"/>
    <w:rsid w:val="002528B3"/>
    <w:rsid w:val="00254545"/>
    <w:rsid w:val="00255187"/>
    <w:rsid w:val="0025668C"/>
    <w:rsid w:val="002615CA"/>
    <w:rsid w:val="00261C74"/>
    <w:rsid w:val="00261CDB"/>
    <w:rsid w:val="00261DB6"/>
    <w:rsid w:val="002620D3"/>
    <w:rsid w:val="00263D5C"/>
    <w:rsid w:val="002679ED"/>
    <w:rsid w:val="00267E7D"/>
    <w:rsid w:val="00271B85"/>
    <w:rsid w:val="00272704"/>
    <w:rsid w:val="00273C42"/>
    <w:rsid w:val="00274428"/>
    <w:rsid w:val="00274820"/>
    <w:rsid w:val="00275C9E"/>
    <w:rsid w:val="00275E45"/>
    <w:rsid w:val="00276926"/>
    <w:rsid w:val="0027741D"/>
    <w:rsid w:val="00282835"/>
    <w:rsid w:val="00283D32"/>
    <w:rsid w:val="002847A2"/>
    <w:rsid w:val="0028572A"/>
    <w:rsid w:val="00286372"/>
    <w:rsid w:val="0028785B"/>
    <w:rsid w:val="00292DAD"/>
    <w:rsid w:val="002955F7"/>
    <w:rsid w:val="00295E77"/>
    <w:rsid w:val="00297E09"/>
    <w:rsid w:val="002A01A1"/>
    <w:rsid w:val="002A105D"/>
    <w:rsid w:val="002A44F9"/>
    <w:rsid w:val="002A4CB7"/>
    <w:rsid w:val="002A636A"/>
    <w:rsid w:val="002A69D4"/>
    <w:rsid w:val="002A6A3A"/>
    <w:rsid w:val="002A724F"/>
    <w:rsid w:val="002A7DE2"/>
    <w:rsid w:val="002A7ECB"/>
    <w:rsid w:val="002B1864"/>
    <w:rsid w:val="002B25A4"/>
    <w:rsid w:val="002B286F"/>
    <w:rsid w:val="002B54B2"/>
    <w:rsid w:val="002C00B5"/>
    <w:rsid w:val="002C0C69"/>
    <w:rsid w:val="002C16E1"/>
    <w:rsid w:val="002C3D48"/>
    <w:rsid w:val="002D0C20"/>
    <w:rsid w:val="002D2BEE"/>
    <w:rsid w:val="002D3143"/>
    <w:rsid w:val="002D42C8"/>
    <w:rsid w:val="002D50F6"/>
    <w:rsid w:val="002D6A61"/>
    <w:rsid w:val="002D7384"/>
    <w:rsid w:val="002D7423"/>
    <w:rsid w:val="002E01B6"/>
    <w:rsid w:val="002E2E3C"/>
    <w:rsid w:val="002E5B19"/>
    <w:rsid w:val="002E6827"/>
    <w:rsid w:val="002E7080"/>
    <w:rsid w:val="002E78D5"/>
    <w:rsid w:val="002F008C"/>
    <w:rsid w:val="002F042F"/>
    <w:rsid w:val="002F0B53"/>
    <w:rsid w:val="002F1D09"/>
    <w:rsid w:val="002F3F6A"/>
    <w:rsid w:val="002F5144"/>
    <w:rsid w:val="002F6A04"/>
    <w:rsid w:val="002F71B5"/>
    <w:rsid w:val="002F733F"/>
    <w:rsid w:val="00301CAC"/>
    <w:rsid w:val="00303E7D"/>
    <w:rsid w:val="00305359"/>
    <w:rsid w:val="00306BA0"/>
    <w:rsid w:val="0031069E"/>
    <w:rsid w:val="003106B2"/>
    <w:rsid w:val="00311B48"/>
    <w:rsid w:val="0031376B"/>
    <w:rsid w:val="003161A6"/>
    <w:rsid w:val="00317733"/>
    <w:rsid w:val="003200D5"/>
    <w:rsid w:val="0032056B"/>
    <w:rsid w:val="00320DAA"/>
    <w:rsid w:val="003210B9"/>
    <w:rsid w:val="00321BFE"/>
    <w:rsid w:val="00326E99"/>
    <w:rsid w:val="0032732E"/>
    <w:rsid w:val="003301E5"/>
    <w:rsid w:val="00331F63"/>
    <w:rsid w:val="00332C4B"/>
    <w:rsid w:val="00334227"/>
    <w:rsid w:val="003347AA"/>
    <w:rsid w:val="003365CA"/>
    <w:rsid w:val="00337C44"/>
    <w:rsid w:val="00341661"/>
    <w:rsid w:val="00342250"/>
    <w:rsid w:val="003454C4"/>
    <w:rsid w:val="00345FFB"/>
    <w:rsid w:val="00350340"/>
    <w:rsid w:val="003503F9"/>
    <w:rsid w:val="00350972"/>
    <w:rsid w:val="00352EBD"/>
    <w:rsid w:val="00354127"/>
    <w:rsid w:val="003546BB"/>
    <w:rsid w:val="00354D03"/>
    <w:rsid w:val="00357BCE"/>
    <w:rsid w:val="00360501"/>
    <w:rsid w:val="003634EF"/>
    <w:rsid w:val="0036387D"/>
    <w:rsid w:val="00364424"/>
    <w:rsid w:val="00365486"/>
    <w:rsid w:val="003657EB"/>
    <w:rsid w:val="00365DE9"/>
    <w:rsid w:val="00366B0E"/>
    <w:rsid w:val="00367246"/>
    <w:rsid w:val="00371810"/>
    <w:rsid w:val="003768DA"/>
    <w:rsid w:val="00380E70"/>
    <w:rsid w:val="00381024"/>
    <w:rsid w:val="00383031"/>
    <w:rsid w:val="00383CBD"/>
    <w:rsid w:val="0038406C"/>
    <w:rsid w:val="00385842"/>
    <w:rsid w:val="00385915"/>
    <w:rsid w:val="00386C57"/>
    <w:rsid w:val="00387E04"/>
    <w:rsid w:val="00392843"/>
    <w:rsid w:val="003929EC"/>
    <w:rsid w:val="00392E21"/>
    <w:rsid w:val="00392E34"/>
    <w:rsid w:val="003933C7"/>
    <w:rsid w:val="003960C9"/>
    <w:rsid w:val="0039730E"/>
    <w:rsid w:val="00397E4C"/>
    <w:rsid w:val="003A2D7A"/>
    <w:rsid w:val="003A3A8E"/>
    <w:rsid w:val="003A4B8C"/>
    <w:rsid w:val="003A5974"/>
    <w:rsid w:val="003B0EE8"/>
    <w:rsid w:val="003B0F07"/>
    <w:rsid w:val="003B3F6B"/>
    <w:rsid w:val="003B5BAE"/>
    <w:rsid w:val="003B5BD1"/>
    <w:rsid w:val="003B7098"/>
    <w:rsid w:val="003C09B7"/>
    <w:rsid w:val="003D1252"/>
    <w:rsid w:val="003D15B7"/>
    <w:rsid w:val="003D3BF3"/>
    <w:rsid w:val="003D40BF"/>
    <w:rsid w:val="003D4BAD"/>
    <w:rsid w:val="003D7061"/>
    <w:rsid w:val="003D7C9E"/>
    <w:rsid w:val="003D7EE3"/>
    <w:rsid w:val="003E0E76"/>
    <w:rsid w:val="003E1288"/>
    <w:rsid w:val="003E2E27"/>
    <w:rsid w:val="003E6493"/>
    <w:rsid w:val="003E65AB"/>
    <w:rsid w:val="003F22E9"/>
    <w:rsid w:val="003F26DE"/>
    <w:rsid w:val="003F38FE"/>
    <w:rsid w:val="003F5812"/>
    <w:rsid w:val="003F5E3D"/>
    <w:rsid w:val="004015A7"/>
    <w:rsid w:val="00401BA1"/>
    <w:rsid w:val="00405132"/>
    <w:rsid w:val="00405797"/>
    <w:rsid w:val="00405A19"/>
    <w:rsid w:val="00406882"/>
    <w:rsid w:val="00410395"/>
    <w:rsid w:val="0041055B"/>
    <w:rsid w:val="00411404"/>
    <w:rsid w:val="004115AF"/>
    <w:rsid w:val="00413F4E"/>
    <w:rsid w:val="00415F89"/>
    <w:rsid w:val="00416677"/>
    <w:rsid w:val="00417235"/>
    <w:rsid w:val="00417AEF"/>
    <w:rsid w:val="00417E12"/>
    <w:rsid w:val="00422965"/>
    <w:rsid w:val="00423171"/>
    <w:rsid w:val="00426BDF"/>
    <w:rsid w:val="00426FBE"/>
    <w:rsid w:val="0043103F"/>
    <w:rsid w:val="004317B8"/>
    <w:rsid w:val="0043198B"/>
    <w:rsid w:val="00432708"/>
    <w:rsid w:val="00432AEA"/>
    <w:rsid w:val="00432E75"/>
    <w:rsid w:val="00436010"/>
    <w:rsid w:val="00436B78"/>
    <w:rsid w:val="00437DBB"/>
    <w:rsid w:val="004437BD"/>
    <w:rsid w:val="0044466E"/>
    <w:rsid w:val="00445D21"/>
    <w:rsid w:val="00450C2E"/>
    <w:rsid w:val="004537B5"/>
    <w:rsid w:val="00453DF0"/>
    <w:rsid w:val="00454AC2"/>
    <w:rsid w:val="00454FFB"/>
    <w:rsid w:val="0045612F"/>
    <w:rsid w:val="00457165"/>
    <w:rsid w:val="00461DEE"/>
    <w:rsid w:val="004645FA"/>
    <w:rsid w:val="00465297"/>
    <w:rsid w:val="0046799B"/>
    <w:rsid w:val="00467C1B"/>
    <w:rsid w:val="004715BC"/>
    <w:rsid w:val="00474398"/>
    <w:rsid w:val="0047454C"/>
    <w:rsid w:val="00475458"/>
    <w:rsid w:val="0047651D"/>
    <w:rsid w:val="004765CD"/>
    <w:rsid w:val="0047724B"/>
    <w:rsid w:val="00481B6B"/>
    <w:rsid w:val="00482AB4"/>
    <w:rsid w:val="00482EFC"/>
    <w:rsid w:val="00483701"/>
    <w:rsid w:val="00485031"/>
    <w:rsid w:val="004857FF"/>
    <w:rsid w:val="00487C9B"/>
    <w:rsid w:val="004914DA"/>
    <w:rsid w:val="00494A5E"/>
    <w:rsid w:val="004971B7"/>
    <w:rsid w:val="004A2006"/>
    <w:rsid w:val="004A2932"/>
    <w:rsid w:val="004A4A5C"/>
    <w:rsid w:val="004A4DBA"/>
    <w:rsid w:val="004A6029"/>
    <w:rsid w:val="004A67A1"/>
    <w:rsid w:val="004A6A3D"/>
    <w:rsid w:val="004A6BC7"/>
    <w:rsid w:val="004B0242"/>
    <w:rsid w:val="004B058A"/>
    <w:rsid w:val="004B5D8D"/>
    <w:rsid w:val="004B605D"/>
    <w:rsid w:val="004B6534"/>
    <w:rsid w:val="004C0B01"/>
    <w:rsid w:val="004C13D2"/>
    <w:rsid w:val="004C1AA6"/>
    <w:rsid w:val="004C4519"/>
    <w:rsid w:val="004C5E52"/>
    <w:rsid w:val="004C6746"/>
    <w:rsid w:val="004D1710"/>
    <w:rsid w:val="004D38EE"/>
    <w:rsid w:val="004D4524"/>
    <w:rsid w:val="004D5E6B"/>
    <w:rsid w:val="004D61CA"/>
    <w:rsid w:val="004D64DF"/>
    <w:rsid w:val="004D6A33"/>
    <w:rsid w:val="004E089C"/>
    <w:rsid w:val="004E0B90"/>
    <w:rsid w:val="004E1712"/>
    <w:rsid w:val="004E1FA6"/>
    <w:rsid w:val="004E2796"/>
    <w:rsid w:val="004E3159"/>
    <w:rsid w:val="004E39D2"/>
    <w:rsid w:val="004F0DD9"/>
    <w:rsid w:val="004F125B"/>
    <w:rsid w:val="004F22BA"/>
    <w:rsid w:val="004F3ED6"/>
    <w:rsid w:val="004F5751"/>
    <w:rsid w:val="004F6879"/>
    <w:rsid w:val="00500007"/>
    <w:rsid w:val="005010E3"/>
    <w:rsid w:val="005028E2"/>
    <w:rsid w:val="0050468B"/>
    <w:rsid w:val="00504F66"/>
    <w:rsid w:val="0050598C"/>
    <w:rsid w:val="00507289"/>
    <w:rsid w:val="00512181"/>
    <w:rsid w:val="00512B3A"/>
    <w:rsid w:val="00513758"/>
    <w:rsid w:val="00515613"/>
    <w:rsid w:val="00515688"/>
    <w:rsid w:val="00515AD4"/>
    <w:rsid w:val="00515C9B"/>
    <w:rsid w:val="00516B71"/>
    <w:rsid w:val="0052146B"/>
    <w:rsid w:val="00525289"/>
    <w:rsid w:val="00525D40"/>
    <w:rsid w:val="0052732D"/>
    <w:rsid w:val="00527520"/>
    <w:rsid w:val="00531D5C"/>
    <w:rsid w:val="00531F27"/>
    <w:rsid w:val="005323AD"/>
    <w:rsid w:val="00535996"/>
    <w:rsid w:val="00537F49"/>
    <w:rsid w:val="005455C4"/>
    <w:rsid w:val="0054587B"/>
    <w:rsid w:val="00547D6C"/>
    <w:rsid w:val="00547E92"/>
    <w:rsid w:val="005547E0"/>
    <w:rsid w:val="005547F2"/>
    <w:rsid w:val="005549BE"/>
    <w:rsid w:val="00555421"/>
    <w:rsid w:val="00555C47"/>
    <w:rsid w:val="005560B2"/>
    <w:rsid w:val="00556BEA"/>
    <w:rsid w:val="00557908"/>
    <w:rsid w:val="00560CEC"/>
    <w:rsid w:val="00561328"/>
    <w:rsid w:val="00561D7B"/>
    <w:rsid w:val="005655A6"/>
    <w:rsid w:val="00567223"/>
    <w:rsid w:val="0057170B"/>
    <w:rsid w:val="0057186B"/>
    <w:rsid w:val="00572CE4"/>
    <w:rsid w:val="005749FB"/>
    <w:rsid w:val="00575901"/>
    <w:rsid w:val="00575FB2"/>
    <w:rsid w:val="00577AD7"/>
    <w:rsid w:val="00581282"/>
    <w:rsid w:val="00581F85"/>
    <w:rsid w:val="005827F3"/>
    <w:rsid w:val="00585E0D"/>
    <w:rsid w:val="00593FB2"/>
    <w:rsid w:val="0059405B"/>
    <w:rsid w:val="0059460D"/>
    <w:rsid w:val="0059564C"/>
    <w:rsid w:val="00596528"/>
    <w:rsid w:val="005A00C4"/>
    <w:rsid w:val="005A0210"/>
    <w:rsid w:val="005A11A3"/>
    <w:rsid w:val="005A5A1D"/>
    <w:rsid w:val="005A61D5"/>
    <w:rsid w:val="005A7FAF"/>
    <w:rsid w:val="005B001B"/>
    <w:rsid w:val="005B0C8B"/>
    <w:rsid w:val="005B2284"/>
    <w:rsid w:val="005B2E30"/>
    <w:rsid w:val="005B314D"/>
    <w:rsid w:val="005B43DC"/>
    <w:rsid w:val="005B5F00"/>
    <w:rsid w:val="005B78A2"/>
    <w:rsid w:val="005C1651"/>
    <w:rsid w:val="005C19BB"/>
    <w:rsid w:val="005C24B1"/>
    <w:rsid w:val="005C2B87"/>
    <w:rsid w:val="005C5542"/>
    <w:rsid w:val="005C5A84"/>
    <w:rsid w:val="005D0670"/>
    <w:rsid w:val="005D0B45"/>
    <w:rsid w:val="005D15BB"/>
    <w:rsid w:val="005D227C"/>
    <w:rsid w:val="005D2DB3"/>
    <w:rsid w:val="005D3AEE"/>
    <w:rsid w:val="005D3B04"/>
    <w:rsid w:val="005D4649"/>
    <w:rsid w:val="005D7842"/>
    <w:rsid w:val="005D7D8C"/>
    <w:rsid w:val="005E16A2"/>
    <w:rsid w:val="005E3698"/>
    <w:rsid w:val="005E4CF2"/>
    <w:rsid w:val="005E5138"/>
    <w:rsid w:val="005E5A06"/>
    <w:rsid w:val="005F1CF2"/>
    <w:rsid w:val="005F29FD"/>
    <w:rsid w:val="005F2D2A"/>
    <w:rsid w:val="005F2DB9"/>
    <w:rsid w:val="005F42A8"/>
    <w:rsid w:val="005F4B73"/>
    <w:rsid w:val="005F4D50"/>
    <w:rsid w:val="005F5219"/>
    <w:rsid w:val="005F6BB8"/>
    <w:rsid w:val="0060291D"/>
    <w:rsid w:val="00603D0F"/>
    <w:rsid w:val="006055BC"/>
    <w:rsid w:val="0060563E"/>
    <w:rsid w:val="006060D8"/>
    <w:rsid w:val="006078A6"/>
    <w:rsid w:val="00612051"/>
    <w:rsid w:val="0061236D"/>
    <w:rsid w:val="006160A0"/>
    <w:rsid w:val="0062019F"/>
    <w:rsid w:val="0062189C"/>
    <w:rsid w:val="006219ED"/>
    <w:rsid w:val="00622C0F"/>
    <w:rsid w:val="00624601"/>
    <w:rsid w:val="0062542D"/>
    <w:rsid w:val="00627829"/>
    <w:rsid w:val="006307BB"/>
    <w:rsid w:val="00630DC4"/>
    <w:rsid w:val="00631107"/>
    <w:rsid w:val="0063123F"/>
    <w:rsid w:val="006324C8"/>
    <w:rsid w:val="00632B15"/>
    <w:rsid w:val="00633756"/>
    <w:rsid w:val="00634516"/>
    <w:rsid w:val="006359DC"/>
    <w:rsid w:val="00635D3B"/>
    <w:rsid w:val="00636212"/>
    <w:rsid w:val="00636B4E"/>
    <w:rsid w:val="00637816"/>
    <w:rsid w:val="00642439"/>
    <w:rsid w:val="00642E27"/>
    <w:rsid w:val="00643993"/>
    <w:rsid w:val="00644148"/>
    <w:rsid w:val="0064487F"/>
    <w:rsid w:val="00646244"/>
    <w:rsid w:val="0065129A"/>
    <w:rsid w:val="006518FF"/>
    <w:rsid w:val="0065434D"/>
    <w:rsid w:val="006574ED"/>
    <w:rsid w:val="0065796D"/>
    <w:rsid w:val="0066024E"/>
    <w:rsid w:val="00660909"/>
    <w:rsid w:val="00661EF7"/>
    <w:rsid w:val="0066259C"/>
    <w:rsid w:val="00663547"/>
    <w:rsid w:val="00663E6B"/>
    <w:rsid w:val="0066446B"/>
    <w:rsid w:val="00664591"/>
    <w:rsid w:val="00664B8F"/>
    <w:rsid w:val="00665669"/>
    <w:rsid w:val="00665AD4"/>
    <w:rsid w:val="00672038"/>
    <w:rsid w:val="006729E5"/>
    <w:rsid w:val="00673EF6"/>
    <w:rsid w:val="00674CA8"/>
    <w:rsid w:val="00675709"/>
    <w:rsid w:val="00675B77"/>
    <w:rsid w:val="00676627"/>
    <w:rsid w:val="00681089"/>
    <w:rsid w:val="006812C3"/>
    <w:rsid w:val="006831D0"/>
    <w:rsid w:val="006879FB"/>
    <w:rsid w:val="00690AA6"/>
    <w:rsid w:val="006910CA"/>
    <w:rsid w:val="00691A0B"/>
    <w:rsid w:val="00692050"/>
    <w:rsid w:val="00695295"/>
    <w:rsid w:val="0069592B"/>
    <w:rsid w:val="006A10AA"/>
    <w:rsid w:val="006A144A"/>
    <w:rsid w:val="006A266A"/>
    <w:rsid w:val="006A2FB1"/>
    <w:rsid w:val="006A342E"/>
    <w:rsid w:val="006A4F8D"/>
    <w:rsid w:val="006A635D"/>
    <w:rsid w:val="006A7BE0"/>
    <w:rsid w:val="006B2B86"/>
    <w:rsid w:val="006B2E86"/>
    <w:rsid w:val="006B36C6"/>
    <w:rsid w:val="006B43B8"/>
    <w:rsid w:val="006B502F"/>
    <w:rsid w:val="006B5818"/>
    <w:rsid w:val="006B5A77"/>
    <w:rsid w:val="006B5B98"/>
    <w:rsid w:val="006B5CE9"/>
    <w:rsid w:val="006B6FBC"/>
    <w:rsid w:val="006C0723"/>
    <w:rsid w:val="006C2452"/>
    <w:rsid w:val="006C2A00"/>
    <w:rsid w:val="006C4A66"/>
    <w:rsid w:val="006C70C0"/>
    <w:rsid w:val="006C71ED"/>
    <w:rsid w:val="006C7257"/>
    <w:rsid w:val="006D0855"/>
    <w:rsid w:val="006D0856"/>
    <w:rsid w:val="006D0E3A"/>
    <w:rsid w:val="006D29F4"/>
    <w:rsid w:val="006D362F"/>
    <w:rsid w:val="006D4A4C"/>
    <w:rsid w:val="006D54FD"/>
    <w:rsid w:val="006D588D"/>
    <w:rsid w:val="006D5F88"/>
    <w:rsid w:val="006E09F5"/>
    <w:rsid w:val="006E32C6"/>
    <w:rsid w:val="006E3779"/>
    <w:rsid w:val="006E459A"/>
    <w:rsid w:val="006E48B1"/>
    <w:rsid w:val="006E5787"/>
    <w:rsid w:val="006F0FF2"/>
    <w:rsid w:val="006F20D2"/>
    <w:rsid w:val="006F2F8B"/>
    <w:rsid w:val="006F49F0"/>
    <w:rsid w:val="006F6436"/>
    <w:rsid w:val="006F6D2B"/>
    <w:rsid w:val="00700175"/>
    <w:rsid w:val="00701241"/>
    <w:rsid w:val="00701CFD"/>
    <w:rsid w:val="00702B00"/>
    <w:rsid w:val="00704FBB"/>
    <w:rsid w:val="007109CE"/>
    <w:rsid w:val="00711432"/>
    <w:rsid w:val="007126AA"/>
    <w:rsid w:val="007135A9"/>
    <w:rsid w:val="00713A63"/>
    <w:rsid w:val="00715089"/>
    <w:rsid w:val="007175CF"/>
    <w:rsid w:val="0072008B"/>
    <w:rsid w:val="00720D35"/>
    <w:rsid w:val="00720DB0"/>
    <w:rsid w:val="00721CF5"/>
    <w:rsid w:val="00722037"/>
    <w:rsid w:val="007227C7"/>
    <w:rsid w:val="00723AFA"/>
    <w:rsid w:val="007259F4"/>
    <w:rsid w:val="00725AE2"/>
    <w:rsid w:val="00726C7E"/>
    <w:rsid w:val="00726CAC"/>
    <w:rsid w:val="00733A6D"/>
    <w:rsid w:val="007350B5"/>
    <w:rsid w:val="007357FF"/>
    <w:rsid w:val="00735B93"/>
    <w:rsid w:val="00736940"/>
    <w:rsid w:val="00737998"/>
    <w:rsid w:val="00737B20"/>
    <w:rsid w:val="007403B8"/>
    <w:rsid w:val="007406DC"/>
    <w:rsid w:val="00742540"/>
    <w:rsid w:val="00743953"/>
    <w:rsid w:val="00750CDC"/>
    <w:rsid w:val="007536E8"/>
    <w:rsid w:val="00753B79"/>
    <w:rsid w:val="00755FC6"/>
    <w:rsid w:val="007561D4"/>
    <w:rsid w:val="00756269"/>
    <w:rsid w:val="00761A7E"/>
    <w:rsid w:val="00763116"/>
    <w:rsid w:val="007664A6"/>
    <w:rsid w:val="00766E42"/>
    <w:rsid w:val="007670FA"/>
    <w:rsid w:val="007677FF"/>
    <w:rsid w:val="00767C43"/>
    <w:rsid w:val="0077030B"/>
    <w:rsid w:val="0077110A"/>
    <w:rsid w:val="00772FF4"/>
    <w:rsid w:val="007731B2"/>
    <w:rsid w:val="007731BA"/>
    <w:rsid w:val="00775494"/>
    <w:rsid w:val="0077757C"/>
    <w:rsid w:val="007800FD"/>
    <w:rsid w:val="007801C1"/>
    <w:rsid w:val="007824E7"/>
    <w:rsid w:val="00782A04"/>
    <w:rsid w:val="00785447"/>
    <w:rsid w:val="00785D00"/>
    <w:rsid w:val="00786007"/>
    <w:rsid w:val="00786666"/>
    <w:rsid w:val="00786786"/>
    <w:rsid w:val="00787C92"/>
    <w:rsid w:val="007903D1"/>
    <w:rsid w:val="00791E87"/>
    <w:rsid w:val="007934DC"/>
    <w:rsid w:val="00795BA8"/>
    <w:rsid w:val="00795D4B"/>
    <w:rsid w:val="00796BB2"/>
    <w:rsid w:val="00796C20"/>
    <w:rsid w:val="00797A45"/>
    <w:rsid w:val="007A0830"/>
    <w:rsid w:val="007A465C"/>
    <w:rsid w:val="007A6138"/>
    <w:rsid w:val="007A71DD"/>
    <w:rsid w:val="007B0994"/>
    <w:rsid w:val="007B0BCB"/>
    <w:rsid w:val="007B107C"/>
    <w:rsid w:val="007B40B1"/>
    <w:rsid w:val="007B40DC"/>
    <w:rsid w:val="007B5C6A"/>
    <w:rsid w:val="007C0FF3"/>
    <w:rsid w:val="007C2877"/>
    <w:rsid w:val="007C3D0A"/>
    <w:rsid w:val="007C7C74"/>
    <w:rsid w:val="007D2133"/>
    <w:rsid w:val="007D21B5"/>
    <w:rsid w:val="007D2382"/>
    <w:rsid w:val="007D3927"/>
    <w:rsid w:val="007E0094"/>
    <w:rsid w:val="007E2A31"/>
    <w:rsid w:val="007E3594"/>
    <w:rsid w:val="007E3BD8"/>
    <w:rsid w:val="007E55FB"/>
    <w:rsid w:val="007E5694"/>
    <w:rsid w:val="007E5F61"/>
    <w:rsid w:val="007E65A0"/>
    <w:rsid w:val="007E7BCF"/>
    <w:rsid w:val="007E7DBF"/>
    <w:rsid w:val="007F2B95"/>
    <w:rsid w:val="007F54E3"/>
    <w:rsid w:val="007F6526"/>
    <w:rsid w:val="008022A6"/>
    <w:rsid w:val="008026E2"/>
    <w:rsid w:val="0080391B"/>
    <w:rsid w:val="00803E59"/>
    <w:rsid w:val="00806ACA"/>
    <w:rsid w:val="00807649"/>
    <w:rsid w:val="00813243"/>
    <w:rsid w:val="0081380B"/>
    <w:rsid w:val="00813B2B"/>
    <w:rsid w:val="00815620"/>
    <w:rsid w:val="00820ABA"/>
    <w:rsid w:val="0082231B"/>
    <w:rsid w:val="008250C8"/>
    <w:rsid w:val="00826766"/>
    <w:rsid w:val="00826EAA"/>
    <w:rsid w:val="00827A78"/>
    <w:rsid w:val="00832A82"/>
    <w:rsid w:val="00832CD3"/>
    <w:rsid w:val="00833668"/>
    <w:rsid w:val="0083467B"/>
    <w:rsid w:val="00835372"/>
    <w:rsid w:val="008368F1"/>
    <w:rsid w:val="00836F0F"/>
    <w:rsid w:val="0084032F"/>
    <w:rsid w:val="008405DE"/>
    <w:rsid w:val="008407F7"/>
    <w:rsid w:val="00841432"/>
    <w:rsid w:val="00842AEE"/>
    <w:rsid w:val="008431EA"/>
    <w:rsid w:val="00843667"/>
    <w:rsid w:val="00843A02"/>
    <w:rsid w:val="00844434"/>
    <w:rsid w:val="00846C8A"/>
    <w:rsid w:val="00850374"/>
    <w:rsid w:val="00850928"/>
    <w:rsid w:val="00850AA3"/>
    <w:rsid w:val="00850C65"/>
    <w:rsid w:val="00850CA6"/>
    <w:rsid w:val="00852B32"/>
    <w:rsid w:val="00852D21"/>
    <w:rsid w:val="00854C3C"/>
    <w:rsid w:val="008572F8"/>
    <w:rsid w:val="00860DA8"/>
    <w:rsid w:val="008612B1"/>
    <w:rsid w:val="00861BB4"/>
    <w:rsid w:val="0086760A"/>
    <w:rsid w:val="00880CAD"/>
    <w:rsid w:val="00882E8C"/>
    <w:rsid w:val="00882F74"/>
    <w:rsid w:val="00884C0E"/>
    <w:rsid w:val="008873D0"/>
    <w:rsid w:val="00892ECE"/>
    <w:rsid w:val="00894137"/>
    <w:rsid w:val="00895716"/>
    <w:rsid w:val="00895A5D"/>
    <w:rsid w:val="008A063E"/>
    <w:rsid w:val="008A19BD"/>
    <w:rsid w:val="008A3747"/>
    <w:rsid w:val="008A3748"/>
    <w:rsid w:val="008A5CB8"/>
    <w:rsid w:val="008A6794"/>
    <w:rsid w:val="008B03DC"/>
    <w:rsid w:val="008B115F"/>
    <w:rsid w:val="008B1ABE"/>
    <w:rsid w:val="008B2DBF"/>
    <w:rsid w:val="008B3CE0"/>
    <w:rsid w:val="008B6696"/>
    <w:rsid w:val="008B6E43"/>
    <w:rsid w:val="008C1606"/>
    <w:rsid w:val="008C25F1"/>
    <w:rsid w:val="008C702E"/>
    <w:rsid w:val="008C7482"/>
    <w:rsid w:val="008D38A8"/>
    <w:rsid w:val="008D5D00"/>
    <w:rsid w:val="008D6041"/>
    <w:rsid w:val="008D6212"/>
    <w:rsid w:val="008D6D78"/>
    <w:rsid w:val="008D71FE"/>
    <w:rsid w:val="008D7903"/>
    <w:rsid w:val="008E1FEA"/>
    <w:rsid w:val="008E5C1D"/>
    <w:rsid w:val="008E6F08"/>
    <w:rsid w:val="008E7BA5"/>
    <w:rsid w:val="008F25D3"/>
    <w:rsid w:val="008F29B5"/>
    <w:rsid w:val="008F3F85"/>
    <w:rsid w:val="008F5274"/>
    <w:rsid w:val="008F65EE"/>
    <w:rsid w:val="008F6E51"/>
    <w:rsid w:val="00901987"/>
    <w:rsid w:val="00904EC6"/>
    <w:rsid w:val="009056D1"/>
    <w:rsid w:val="00907202"/>
    <w:rsid w:val="00907652"/>
    <w:rsid w:val="00907FF6"/>
    <w:rsid w:val="009101D4"/>
    <w:rsid w:val="0091022B"/>
    <w:rsid w:val="009109FD"/>
    <w:rsid w:val="00911644"/>
    <w:rsid w:val="009116BC"/>
    <w:rsid w:val="00914780"/>
    <w:rsid w:val="009147BD"/>
    <w:rsid w:val="0091704C"/>
    <w:rsid w:val="009170B4"/>
    <w:rsid w:val="00917570"/>
    <w:rsid w:val="009216AA"/>
    <w:rsid w:val="0092211E"/>
    <w:rsid w:val="009222DA"/>
    <w:rsid w:val="0092332A"/>
    <w:rsid w:val="009234E1"/>
    <w:rsid w:val="00923895"/>
    <w:rsid w:val="00923C53"/>
    <w:rsid w:val="00923FF1"/>
    <w:rsid w:val="00924296"/>
    <w:rsid w:val="00925988"/>
    <w:rsid w:val="00925A83"/>
    <w:rsid w:val="00926860"/>
    <w:rsid w:val="00927BCD"/>
    <w:rsid w:val="009300C1"/>
    <w:rsid w:val="00931DBA"/>
    <w:rsid w:val="00932D31"/>
    <w:rsid w:val="00932D78"/>
    <w:rsid w:val="00933534"/>
    <w:rsid w:val="00933791"/>
    <w:rsid w:val="00933BE9"/>
    <w:rsid w:val="0093442B"/>
    <w:rsid w:val="0093445B"/>
    <w:rsid w:val="00936B40"/>
    <w:rsid w:val="00940A34"/>
    <w:rsid w:val="00940EFB"/>
    <w:rsid w:val="00942656"/>
    <w:rsid w:val="00942D4B"/>
    <w:rsid w:val="00943378"/>
    <w:rsid w:val="009442D6"/>
    <w:rsid w:val="00946734"/>
    <w:rsid w:val="0094690F"/>
    <w:rsid w:val="009474D0"/>
    <w:rsid w:val="00950382"/>
    <w:rsid w:val="0095145A"/>
    <w:rsid w:val="0095171E"/>
    <w:rsid w:val="00951EF5"/>
    <w:rsid w:val="00952A39"/>
    <w:rsid w:val="0095368D"/>
    <w:rsid w:val="00954823"/>
    <w:rsid w:val="00956A69"/>
    <w:rsid w:val="00956E69"/>
    <w:rsid w:val="00960897"/>
    <w:rsid w:val="0096425E"/>
    <w:rsid w:val="00966316"/>
    <w:rsid w:val="00966F24"/>
    <w:rsid w:val="00967699"/>
    <w:rsid w:val="00972F45"/>
    <w:rsid w:val="00973404"/>
    <w:rsid w:val="00974422"/>
    <w:rsid w:val="0097465C"/>
    <w:rsid w:val="00974D2E"/>
    <w:rsid w:val="00975C48"/>
    <w:rsid w:val="0097705E"/>
    <w:rsid w:val="0097795E"/>
    <w:rsid w:val="00980231"/>
    <w:rsid w:val="009805CF"/>
    <w:rsid w:val="00980CBC"/>
    <w:rsid w:val="00980F73"/>
    <w:rsid w:val="00980FBB"/>
    <w:rsid w:val="0098174A"/>
    <w:rsid w:val="0098174F"/>
    <w:rsid w:val="009836F3"/>
    <w:rsid w:val="00983F51"/>
    <w:rsid w:val="00984145"/>
    <w:rsid w:val="009849D8"/>
    <w:rsid w:val="00985C33"/>
    <w:rsid w:val="00986263"/>
    <w:rsid w:val="0098732D"/>
    <w:rsid w:val="009913DD"/>
    <w:rsid w:val="00991899"/>
    <w:rsid w:val="00991A0A"/>
    <w:rsid w:val="00993DCF"/>
    <w:rsid w:val="00994828"/>
    <w:rsid w:val="009966D5"/>
    <w:rsid w:val="009A047F"/>
    <w:rsid w:val="009A16E7"/>
    <w:rsid w:val="009A1827"/>
    <w:rsid w:val="009A46A1"/>
    <w:rsid w:val="009A4B05"/>
    <w:rsid w:val="009A4CE0"/>
    <w:rsid w:val="009A4E92"/>
    <w:rsid w:val="009A71DC"/>
    <w:rsid w:val="009B16E0"/>
    <w:rsid w:val="009B1F94"/>
    <w:rsid w:val="009B2C13"/>
    <w:rsid w:val="009B39DA"/>
    <w:rsid w:val="009B3CB1"/>
    <w:rsid w:val="009B558B"/>
    <w:rsid w:val="009B5976"/>
    <w:rsid w:val="009B6069"/>
    <w:rsid w:val="009B7813"/>
    <w:rsid w:val="009B7F31"/>
    <w:rsid w:val="009C5FBA"/>
    <w:rsid w:val="009C7D21"/>
    <w:rsid w:val="009D0C50"/>
    <w:rsid w:val="009D300E"/>
    <w:rsid w:val="009D42C0"/>
    <w:rsid w:val="009D6654"/>
    <w:rsid w:val="009E0FF8"/>
    <w:rsid w:val="009E23DC"/>
    <w:rsid w:val="009E347C"/>
    <w:rsid w:val="009E3E5C"/>
    <w:rsid w:val="009F2BDD"/>
    <w:rsid w:val="009F2EEC"/>
    <w:rsid w:val="009F33CB"/>
    <w:rsid w:val="009F3631"/>
    <w:rsid w:val="009F3EB6"/>
    <w:rsid w:val="009F452F"/>
    <w:rsid w:val="009F49A0"/>
    <w:rsid w:val="00A00520"/>
    <w:rsid w:val="00A0095C"/>
    <w:rsid w:val="00A0356F"/>
    <w:rsid w:val="00A066D8"/>
    <w:rsid w:val="00A077BE"/>
    <w:rsid w:val="00A10BED"/>
    <w:rsid w:val="00A11264"/>
    <w:rsid w:val="00A11D93"/>
    <w:rsid w:val="00A139F6"/>
    <w:rsid w:val="00A13D1D"/>
    <w:rsid w:val="00A148F0"/>
    <w:rsid w:val="00A2044F"/>
    <w:rsid w:val="00A21E45"/>
    <w:rsid w:val="00A26B6D"/>
    <w:rsid w:val="00A26F8F"/>
    <w:rsid w:val="00A3052D"/>
    <w:rsid w:val="00A315B3"/>
    <w:rsid w:val="00A323A8"/>
    <w:rsid w:val="00A32DF1"/>
    <w:rsid w:val="00A33BC7"/>
    <w:rsid w:val="00A36096"/>
    <w:rsid w:val="00A42660"/>
    <w:rsid w:val="00A44082"/>
    <w:rsid w:val="00A45CB9"/>
    <w:rsid w:val="00A4784B"/>
    <w:rsid w:val="00A50CF2"/>
    <w:rsid w:val="00A51342"/>
    <w:rsid w:val="00A51C64"/>
    <w:rsid w:val="00A53DC7"/>
    <w:rsid w:val="00A55719"/>
    <w:rsid w:val="00A5621E"/>
    <w:rsid w:val="00A5633A"/>
    <w:rsid w:val="00A563BC"/>
    <w:rsid w:val="00A6094E"/>
    <w:rsid w:val="00A60DBC"/>
    <w:rsid w:val="00A610AA"/>
    <w:rsid w:val="00A6152A"/>
    <w:rsid w:val="00A645CF"/>
    <w:rsid w:val="00A64A4A"/>
    <w:rsid w:val="00A7078D"/>
    <w:rsid w:val="00A70F6A"/>
    <w:rsid w:val="00A71680"/>
    <w:rsid w:val="00A718F8"/>
    <w:rsid w:val="00A721A9"/>
    <w:rsid w:val="00A722E9"/>
    <w:rsid w:val="00A734B4"/>
    <w:rsid w:val="00A7602E"/>
    <w:rsid w:val="00A80196"/>
    <w:rsid w:val="00A811EC"/>
    <w:rsid w:val="00A849D1"/>
    <w:rsid w:val="00A85E9A"/>
    <w:rsid w:val="00A86E0A"/>
    <w:rsid w:val="00A87956"/>
    <w:rsid w:val="00A902A8"/>
    <w:rsid w:val="00A91912"/>
    <w:rsid w:val="00A92BE0"/>
    <w:rsid w:val="00A95D49"/>
    <w:rsid w:val="00A96982"/>
    <w:rsid w:val="00AA1976"/>
    <w:rsid w:val="00AA2468"/>
    <w:rsid w:val="00AA2E4B"/>
    <w:rsid w:val="00AA48B5"/>
    <w:rsid w:val="00AA69BA"/>
    <w:rsid w:val="00AA7C75"/>
    <w:rsid w:val="00AB1FB9"/>
    <w:rsid w:val="00AB3519"/>
    <w:rsid w:val="00AB4558"/>
    <w:rsid w:val="00AB6040"/>
    <w:rsid w:val="00AB60B5"/>
    <w:rsid w:val="00AB7292"/>
    <w:rsid w:val="00AC16E7"/>
    <w:rsid w:val="00AC24FA"/>
    <w:rsid w:val="00AC38E9"/>
    <w:rsid w:val="00AC52F7"/>
    <w:rsid w:val="00AC6579"/>
    <w:rsid w:val="00AD0A6C"/>
    <w:rsid w:val="00AD0C65"/>
    <w:rsid w:val="00AD49FD"/>
    <w:rsid w:val="00AD4F39"/>
    <w:rsid w:val="00AD709F"/>
    <w:rsid w:val="00AD72B4"/>
    <w:rsid w:val="00AE07D4"/>
    <w:rsid w:val="00AE1D52"/>
    <w:rsid w:val="00AE2200"/>
    <w:rsid w:val="00AE3EEA"/>
    <w:rsid w:val="00AE450F"/>
    <w:rsid w:val="00AE569E"/>
    <w:rsid w:val="00AF0CE8"/>
    <w:rsid w:val="00AF108B"/>
    <w:rsid w:val="00AF1A7C"/>
    <w:rsid w:val="00AF2B1D"/>
    <w:rsid w:val="00AF2B59"/>
    <w:rsid w:val="00AF446B"/>
    <w:rsid w:val="00AF4E5E"/>
    <w:rsid w:val="00AF773E"/>
    <w:rsid w:val="00AF7DFC"/>
    <w:rsid w:val="00B0227A"/>
    <w:rsid w:val="00B0650C"/>
    <w:rsid w:val="00B102E2"/>
    <w:rsid w:val="00B11C51"/>
    <w:rsid w:val="00B12367"/>
    <w:rsid w:val="00B16138"/>
    <w:rsid w:val="00B20A17"/>
    <w:rsid w:val="00B23DAF"/>
    <w:rsid w:val="00B242DC"/>
    <w:rsid w:val="00B27F69"/>
    <w:rsid w:val="00B30319"/>
    <w:rsid w:val="00B30915"/>
    <w:rsid w:val="00B32D45"/>
    <w:rsid w:val="00B4074C"/>
    <w:rsid w:val="00B4137E"/>
    <w:rsid w:val="00B42FF7"/>
    <w:rsid w:val="00B442D8"/>
    <w:rsid w:val="00B4608B"/>
    <w:rsid w:val="00B47B89"/>
    <w:rsid w:val="00B5041B"/>
    <w:rsid w:val="00B51080"/>
    <w:rsid w:val="00B511AF"/>
    <w:rsid w:val="00B53121"/>
    <w:rsid w:val="00B55240"/>
    <w:rsid w:val="00B57679"/>
    <w:rsid w:val="00B604C9"/>
    <w:rsid w:val="00B60798"/>
    <w:rsid w:val="00B60BCE"/>
    <w:rsid w:val="00B6140E"/>
    <w:rsid w:val="00B70541"/>
    <w:rsid w:val="00B713F3"/>
    <w:rsid w:val="00B73799"/>
    <w:rsid w:val="00B743C4"/>
    <w:rsid w:val="00B74C05"/>
    <w:rsid w:val="00B766BC"/>
    <w:rsid w:val="00B774D2"/>
    <w:rsid w:val="00B77877"/>
    <w:rsid w:val="00B77BA8"/>
    <w:rsid w:val="00B80E5D"/>
    <w:rsid w:val="00B80E92"/>
    <w:rsid w:val="00B821EC"/>
    <w:rsid w:val="00B83144"/>
    <w:rsid w:val="00B8442A"/>
    <w:rsid w:val="00B846B9"/>
    <w:rsid w:val="00B85FE6"/>
    <w:rsid w:val="00B86E25"/>
    <w:rsid w:val="00B87AEF"/>
    <w:rsid w:val="00B91C14"/>
    <w:rsid w:val="00B93296"/>
    <w:rsid w:val="00B94645"/>
    <w:rsid w:val="00B949BD"/>
    <w:rsid w:val="00B95F96"/>
    <w:rsid w:val="00B969B3"/>
    <w:rsid w:val="00B97749"/>
    <w:rsid w:val="00B97A10"/>
    <w:rsid w:val="00BA0217"/>
    <w:rsid w:val="00BA03B4"/>
    <w:rsid w:val="00BA4042"/>
    <w:rsid w:val="00BA4153"/>
    <w:rsid w:val="00BA595C"/>
    <w:rsid w:val="00BA6D91"/>
    <w:rsid w:val="00BA7D2F"/>
    <w:rsid w:val="00BB0663"/>
    <w:rsid w:val="00BB115D"/>
    <w:rsid w:val="00BB1493"/>
    <w:rsid w:val="00BB279E"/>
    <w:rsid w:val="00BB320C"/>
    <w:rsid w:val="00BB3BD9"/>
    <w:rsid w:val="00BB3DEB"/>
    <w:rsid w:val="00BB3FC7"/>
    <w:rsid w:val="00BB53DA"/>
    <w:rsid w:val="00BB5D7C"/>
    <w:rsid w:val="00BB7310"/>
    <w:rsid w:val="00BC2A54"/>
    <w:rsid w:val="00BC4961"/>
    <w:rsid w:val="00BC7517"/>
    <w:rsid w:val="00BC7C09"/>
    <w:rsid w:val="00BD0BC8"/>
    <w:rsid w:val="00BD1744"/>
    <w:rsid w:val="00BD2863"/>
    <w:rsid w:val="00BD34B2"/>
    <w:rsid w:val="00BD3F09"/>
    <w:rsid w:val="00BD5199"/>
    <w:rsid w:val="00BD60DC"/>
    <w:rsid w:val="00BE311E"/>
    <w:rsid w:val="00BE34C1"/>
    <w:rsid w:val="00BE3685"/>
    <w:rsid w:val="00BE4E89"/>
    <w:rsid w:val="00BE76F5"/>
    <w:rsid w:val="00BE78DB"/>
    <w:rsid w:val="00BE7D4A"/>
    <w:rsid w:val="00BF293B"/>
    <w:rsid w:val="00BF2955"/>
    <w:rsid w:val="00BF341E"/>
    <w:rsid w:val="00BF451A"/>
    <w:rsid w:val="00BF4AD6"/>
    <w:rsid w:val="00BF5FCD"/>
    <w:rsid w:val="00BF66AC"/>
    <w:rsid w:val="00BF67C6"/>
    <w:rsid w:val="00C01F19"/>
    <w:rsid w:val="00C026C1"/>
    <w:rsid w:val="00C03408"/>
    <w:rsid w:val="00C0363A"/>
    <w:rsid w:val="00C04265"/>
    <w:rsid w:val="00C0631B"/>
    <w:rsid w:val="00C10225"/>
    <w:rsid w:val="00C11979"/>
    <w:rsid w:val="00C11FD3"/>
    <w:rsid w:val="00C1274D"/>
    <w:rsid w:val="00C13777"/>
    <w:rsid w:val="00C13896"/>
    <w:rsid w:val="00C149E9"/>
    <w:rsid w:val="00C14CAC"/>
    <w:rsid w:val="00C15D41"/>
    <w:rsid w:val="00C1725A"/>
    <w:rsid w:val="00C232E7"/>
    <w:rsid w:val="00C243E5"/>
    <w:rsid w:val="00C270CB"/>
    <w:rsid w:val="00C33DCE"/>
    <w:rsid w:val="00C34088"/>
    <w:rsid w:val="00C35B62"/>
    <w:rsid w:val="00C42A5C"/>
    <w:rsid w:val="00C43102"/>
    <w:rsid w:val="00C431FE"/>
    <w:rsid w:val="00C4727E"/>
    <w:rsid w:val="00C47726"/>
    <w:rsid w:val="00C51132"/>
    <w:rsid w:val="00C53FC1"/>
    <w:rsid w:val="00C5425C"/>
    <w:rsid w:val="00C55129"/>
    <w:rsid w:val="00C579FD"/>
    <w:rsid w:val="00C638B6"/>
    <w:rsid w:val="00C65D14"/>
    <w:rsid w:val="00C66844"/>
    <w:rsid w:val="00C66F13"/>
    <w:rsid w:val="00C73B64"/>
    <w:rsid w:val="00C74B15"/>
    <w:rsid w:val="00C757D6"/>
    <w:rsid w:val="00C818E9"/>
    <w:rsid w:val="00C83A79"/>
    <w:rsid w:val="00C87FF1"/>
    <w:rsid w:val="00C91BE6"/>
    <w:rsid w:val="00C92A0E"/>
    <w:rsid w:val="00C96DAE"/>
    <w:rsid w:val="00CA21EC"/>
    <w:rsid w:val="00CA23D5"/>
    <w:rsid w:val="00CA26CC"/>
    <w:rsid w:val="00CA3156"/>
    <w:rsid w:val="00CA3FBA"/>
    <w:rsid w:val="00CA411D"/>
    <w:rsid w:val="00CA423B"/>
    <w:rsid w:val="00CA491D"/>
    <w:rsid w:val="00CA4B51"/>
    <w:rsid w:val="00CA63FD"/>
    <w:rsid w:val="00CA6684"/>
    <w:rsid w:val="00CA7D4F"/>
    <w:rsid w:val="00CB0D2D"/>
    <w:rsid w:val="00CB24D7"/>
    <w:rsid w:val="00CB2780"/>
    <w:rsid w:val="00CB4859"/>
    <w:rsid w:val="00CB5D04"/>
    <w:rsid w:val="00CB64F2"/>
    <w:rsid w:val="00CB6842"/>
    <w:rsid w:val="00CB7596"/>
    <w:rsid w:val="00CC058C"/>
    <w:rsid w:val="00CC0A1A"/>
    <w:rsid w:val="00CC104A"/>
    <w:rsid w:val="00CC2688"/>
    <w:rsid w:val="00CC2ABE"/>
    <w:rsid w:val="00CC2D9B"/>
    <w:rsid w:val="00CC404F"/>
    <w:rsid w:val="00CC4E2E"/>
    <w:rsid w:val="00CC6272"/>
    <w:rsid w:val="00CD16E8"/>
    <w:rsid w:val="00CD20B7"/>
    <w:rsid w:val="00CD4795"/>
    <w:rsid w:val="00CD7C99"/>
    <w:rsid w:val="00CE28A8"/>
    <w:rsid w:val="00CE7737"/>
    <w:rsid w:val="00CE7C72"/>
    <w:rsid w:val="00CF0A68"/>
    <w:rsid w:val="00CF0C47"/>
    <w:rsid w:val="00CF1447"/>
    <w:rsid w:val="00CF17F6"/>
    <w:rsid w:val="00CF6AD3"/>
    <w:rsid w:val="00D0228B"/>
    <w:rsid w:val="00D02B0A"/>
    <w:rsid w:val="00D032F9"/>
    <w:rsid w:val="00D04878"/>
    <w:rsid w:val="00D0560B"/>
    <w:rsid w:val="00D065E8"/>
    <w:rsid w:val="00D06C27"/>
    <w:rsid w:val="00D07A74"/>
    <w:rsid w:val="00D119FF"/>
    <w:rsid w:val="00D129F5"/>
    <w:rsid w:val="00D13140"/>
    <w:rsid w:val="00D15401"/>
    <w:rsid w:val="00D15C14"/>
    <w:rsid w:val="00D1631D"/>
    <w:rsid w:val="00D169FC"/>
    <w:rsid w:val="00D177E9"/>
    <w:rsid w:val="00D1795B"/>
    <w:rsid w:val="00D20B6F"/>
    <w:rsid w:val="00D217B1"/>
    <w:rsid w:val="00D22B1A"/>
    <w:rsid w:val="00D230D1"/>
    <w:rsid w:val="00D2404D"/>
    <w:rsid w:val="00D24FA7"/>
    <w:rsid w:val="00D27C6A"/>
    <w:rsid w:val="00D3005E"/>
    <w:rsid w:val="00D31FAB"/>
    <w:rsid w:val="00D324D8"/>
    <w:rsid w:val="00D32E03"/>
    <w:rsid w:val="00D333CC"/>
    <w:rsid w:val="00D33ADA"/>
    <w:rsid w:val="00D34DA4"/>
    <w:rsid w:val="00D363C2"/>
    <w:rsid w:val="00D36650"/>
    <w:rsid w:val="00D36C60"/>
    <w:rsid w:val="00D37F77"/>
    <w:rsid w:val="00D4013E"/>
    <w:rsid w:val="00D4084B"/>
    <w:rsid w:val="00D40E9F"/>
    <w:rsid w:val="00D41E13"/>
    <w:rsid w:val="00D4202D"/>
    <w:rsid w:val="00D42EF6"/>
    <w:rsid w:val="00D50577"/>
    <w:rsid w:val="00D50F6F"/>
    <w:rsid w:val="00D5176B"/>
    <w:rsid w:val="00D51A18"/>
    <w:rsid w:val="00D5258D"/>
    <w:rsid w:val="00D52BF6"/>
    <w:rsid w:val="00D530E9"/>
    <w:rsid w:val="00D531A4"/>
    <w:rsid w:val="00D5444A"/>
    <w:rsid w:val="00D5541F"/>
    <w:rsid w:val="00D556FE"/>
    <w:rsid w:val="00D5575A"/>
    <w:rsid w:val="00D61AE9"/>
    <w:rsid w:val="00D62CCE"/>
    <w:rsid w:val="00D64870"/>
    <w:rsid w:val="00D64887"/>
    <w:rsid w:val="00D64E46"/>
    <w:rsid w:val="00D70C3A"/>
    <w:rsid w:val="00D715CE"/>
    <w:rsid w:val="00D71639"/>
    <w:rsid w:val="00D71FF7"/>
    <w:rsid w:val="00D73284"/>
    <w:rsid w:val="00D74857"/>
    <w:rsid w:val="00D76B56"/>
    <w:rsid w:val="00D77E47"/>
    <w:rsid w:val="00D81F48"/>
    <w:rsid w:val="00D82131"/>
    <w:rsid w:val="00D822DA"/>
    <w:rsid w:val="00D82CBF"/>
    <w:rsid w:val="00D85924"/>
    <w:rsid w:val="00D86BE8"/>
    <w:rsid w:val="00D87E15"/>
    <w:rsid w:val="00D916E5"/>
    <w:rsid w:val="00D944C6"/>
    <w:rsid w:val="00D9512E"/>
    <w:rsid w:val="00D967D1"/>
    <w:rsid w:val="00DA192F"/>
    <w:rsid w:val="00DA1A27"/>
    <w:rsid w:val="00DA2D45"/>
    <w:rsid w:val="00DA3458"/>
    <w:rsid w:val="00DA7880"/>
    <w:rsid w:val="00DA7E9A"/>
    <w:rsid w:val="00DB1AF1"/>
    <w:rsid w:val="00DB419A"/>
    <w:rsid w:val="00DB4606"/>
    <w:rsid w:val="00DB5BEF"/>
    <w:rsid w:val="00DB5EB5"/>
    <w:rsid w:val="00DB6859"/>
    <w:rsid w:val="00DB6D96"/>
    <w:rsid w:val="00DC00B5"/>
    <w:rsid w:val="00DC1227"/>
    <w:rsid w:val="00DC1C48"/>
    <w:rsid w:val="00DC2351"/>
    <w:rsid w:val="00DC253B"/>
    <w:rsid w:val="00DC2EB5"/>
    <w:rsid w:val="00DC4C20"/>
    <w:rsid w:val="00DD14A4"/>
    <w:rsid w:val="00DD3C08"/>
    <w:rsid w:val="00DD412A"/>
    <w:rsid w:val="00DD42F2"/>
    <w:rsid w:val="00DD4A2F"/>
    <w:rsid w:val="00DD4ECB"/>
    <w:rsid w:val="00DD64C4"/>
    <w:rsid w:val="00DD6B36"/>
    <w:rsid w:val="00DD7333"/>
    <w:rsid w:val="00DE2A6D"/>
    <w:rsid w:val="00DE3237"/>
    <w:rsid w:val="00DE435E"/>
    <w:rsid w:val="00DE4B50"/>
    <w:rsid w:val="00DE4FB7"/>
    <w:rsid w:val="00DE77C0"/>
    <w:rsid w:val="00DF3CB0"/>
    <w:rsid w:val="00DF4C75"/>
    <w:rsid w:val="00DF67C4"/>
    <w:rsid w:val="00E0037F"/>
    <w:rsid w:val="00E021ED"/>
    <w:rsid w:val="00E034C0"/>
    <w:rsid w:val="00E04181"/>
    <w:rsid w:val="00E04298"/>
    <w:rsid w:val="00E04AE8"/>
    <w:rsid w:val="00E056A6"/>
    <w:rsid w:val="00E12514"/>
    <w:rsid w:val="00E15499"/>
    <w:rsid w:val="00E20732"/>
    <w:rsid w:val="00E20A1C"/>
    <w:rsid w:val="00E23051"/>
    <w:rsid w:val="00E25D89"/>
    <w:rsid w:val="00E2652B"/>
    <w:rsid w:val="00E267C9"/>
    <w:rsid w:val="00E27D29"/>
    <w:rsid w:val="00E31253"/>
    <w:rsid w:val="00E33E9B"/>
    <w:rsid w:val="00E34B7A"/>
    <w:rsid w:val="00E355E7"/>
    <w:rsid w:val="00E36635"/>
    <w:rsid w:val="00E36C6C"/>
    <w:rsid w:val="00E36C89"/>
    <w:rsid w:val="00E371A4"/>
    <w:rsid w:val="00E373E7"/>
    <w:rsid w:val="00E4018D"/>
    <w:rsid w:val="00E41FAB"/>
    <w:rsid w:val="00E42BC0"/>
    <w:rsid w:val="00E43D5D"/>
    <w:rsid w:val="00E45433"/>
    <w:rsid w:val="00E50AEC"/>
    <w:rsid w:val="00E52756"/>
    <w:rsid w:val="00E52B4A"/>
    <w:rsid w:val="00E541EA"/>
    <w:rsid w:val="00E55B17"/>
    <w:rsid w:val="00E55D8C"/>
    <w:rsid w:val="00E56861"/>
    <w:rsid w:val="00E57281"/>
    <w:rsid w:val="00E574C5"/>
    <w:rsid w:val="00E60081"/>
    <w:rsid w:val="00E61906"/>
    <w:rsid w:val="00E628F1"/>
    <w:rsid w:val="00E63710"/>
    <w:rsid w:val="00E64248"/>
    <w:rsid w:val="00E664B4"/>
    <w:rsid w:val="00E67179"/>
    <w:rsid w:val="00E71B2D"/>
    <w:rsid w:val="00E73F66"/>
    <w:rsid w:val="00E744ED"/>
    <w:rsid w:val="00E77B3E"/>
    <w:rsid w:val="00E849F3"/>
    <w:rsid w:val="00E8645A"/>
    <w:rsid w:val="00E868CD"/>
    <w:rsid w:val="00E9037C"/>
    <w:rsid w:val="00E91090"/>
    <w:rsid w:val="00E9502C"/>
    <w:rsid w:val="00E95C6A"/>
    <w:rsid w:val="00E963CA"/>
    <w:rsid w:val="00E96EDB"/>
    <w:rsid w:val="00E9772E"/>
    <w:rsid w:val="00E97FB8"/>
    <w:rsid w:val="00EA08A7"/>
    <w:rsid w:val="00EA1779"/>
    <w:rsid w:val="00EA24A5"/>
    <w:rsid w:val="00EA2EC7"/>
    <w:rsid w:val="00EA35B6"/>
    <w:rsid w:val="00EA41E2"/>
    <w:rsid w:val="00EB0326"/>
    <w:rsid w:val="00EB0A0F"/>
    <w:rsid w:val="00EB10CE"/>
    <w:rsid w:val="00EB1C3C"/>
    <w:rsid w:val="00EB4FB2"/>
    <w:rsid w:val="00EB61E0"/>
    <w:rsid w:val="00EB7642"/>
    <w:rsid w:val="00EC011F"/>
    <w:rsid w:val="00EC0B17"/>
    <w:rsid w:val="00EC104A"/>
    <w:rsid w:val="00EC1457"/>
    <w:rsid w:val="00EC47F5"/>
    <w:rsid w:val="00EC6E86"/>
    <w:rsid w:val="00EC76A8"/>
    <w:rsid w:val="00ED05FE"/>
    <w:rsid w:val="00ED308B"/>
    <w:rsid w:val="00ED4F2D"/>
    <w:rsid w:val="00ED58CE"/>
    <w:rsid w:val="00ED64FA"/>
    <w:rsid w:val="00EE0EC3"/>
    <w:rsid w:val="00EE37BC"/>
    <w:rsid w:val="00EE403B"/>
    <w:rsid w:val="00EE40F6"/>
    <w:rsid w:val="00EE5997"/>
    <w:rsid w:val="00EE5FF4"/>
    <w:rsid w:val="00EE68B7"/>
    <w:rsid w:val="00EE6D46"/>
    <w:rsid w:val="00EE758E"/>
    <w:rsid w:val="00EF0226"/>
    <w:rsid w:val="00EF0534"/>
    <w:rsid w:val="00EF128A"/>
    <w:rsid w:val="00EF2763"/>
    <w:rsid w:val="00EF3536"/>
    <w:rsid w:val="00EF4379"/>
    <w:rsid w:val="00EF496F"/>
    <w:rsid w:val="00EF49FD"/>
    <w:rsid w:val="00EF7F19"/>
    <w:rsid w:val="00F012F8"/>
    <w:rsid w:val="00F01B27"/>
    <w:rsid w:val="00F02833"/>
    <w:rsid w:val="00F028C3"/>
    <w:rsid w:val="00F03B17"/>
    <w:rsid w:val="00F03F1A"/>
    <w:rsid w:val="00F051EA"/>
    <w:rsid w:val="00F05D4D"/>
    <w:rsid w:val="00F06212"/>
    <w:rsid w:val="00F06A95"/>
    <w:rsid w:val="00F074CE"/>
    <w:rsid w:val="00F07D5C"/>
    <w:rsid w:val="00F10360"/>
    <w:rsid w:val="00F104F5"/>
    <w:rsid w:val="00F11299"/>
    <w:rsid w:val="00F1158A"/>
    <w:rsid w:val="00F16890"/>
    <w:rsid w:val="00F1734A"/>
    <w:rsid w:val="00F1743E"/>
    <w:rsid w:val="00F1747F"/>
    <w:rsid w:val="00F17624"/>
    <w:rsid w:val="00F17DE8"/>
    <w:rsid w:val="00F206C4"/>
    <w:rsid w:val="00F208E4"/>
    <w:rsid w:val="00F20FD8"/>
    <w:rsid w:val="00F223B6"/>
    <w:rsid w:val="00F26022"/>
    <w:rsid w:val="00F31916"/>
    <w:rsid w:val="00F337A4"/>
    <w:rsid w:val="00F33B13"/>
    <w:rsid w:val="00F34AD7"/>
    <w:rsid w:val="00F36892"/>
    <w:rsid w:val="00F36A5C"/>
    <w:rsid w:val="00F408AD"/>
    <w:rsid w:val="00F40BA6"/>
    <w:rsid w:val="00F43008"/>
    <w:rsid w:val="00F440B1"/>
    <w:rsid w:val="00F449CA"/>
    <w:rsid w:val="00F44F4B"/>
    <w:rsid w:val="00F46A4A"/>
    <w:rsid w:val="00F50AAF"/>
    <w:rsid w:val="00F51972"/>
    <w:rsid w:val="00F5584E"/>
    <w:rsid w:val="00F55B4C"/>
    <w:rsid w:val="00F5611B"/>
    <w:rsid w:val="00F57E1D"/>
    <w:rsid w:val="00F640A0"/>
    <w:rsid w:val="00F656DD"/>
    <w:rsid w:val="00F7000C"/>
    <w:rsid w:val="00F7013A"/>
    <w:rsid w:val="00F7121A"/>
    <w:rsid w:val="00F71DDB"/>
    <w:rsid w:val="00F727C9"/>
    <w:rsid w:val="00F7293E"/>
    <w:rsid w:val="00F72E7B"/>
    <w:rsid w:val="00F74649"/>
    <w:rsid w:val="00F7500F"/>
    <w:rsid w:val="00F75621"/>
    <w:rsid w:val="00F75FAD"/>
    <w:rsid w:val="00F77271"/>
    <w:rsid w:val="00F80C02"/>
    <w:rsid w:val="00F8429E"/>
    <w:rsid w:val="00F845A7"/>
    <w:rsid w:val="00F848BA"/>
    <w:rsid w:val="00F861DE"/>
    <w:rsid w:val="00F87710"/>
    <w:rsid w:val="00F913EE"/>
    <w:rsid w:val="00F949C1"/>
    <w:rsid w:val="00F94B89"/>
    <w:rsid w:val="00F95523"/>
    <w:rsid w:val="00F95F62"/>
    <w:rsid w:val="00F97F02"/>
    <w:rsid w:val="00FA0EFE"/>
    <w:rsid w:val="00FA2C70"/>
    <w:rsid w:val="00FA42C3"/>
    <w:rsid w:val="00FA4D9E"/>
    <w:rsid w:val="00FA7B16"/>
    <w:rsid w:val="00FB453C"/>
    <w:rsid w:val="00FB4BAF"/>
    <w:rsid w:val="00FB5C0C"/>
    <w:rsid w:val="00FB6B34"/>
    <w:rsid w:val="00FC0E12"/>
    <w:rsid w:val="00FC333E"/>
    <w:rsid w:val="00FC650C"/>
    <w:rsid w:val="00FC6793"/>
    <w:rsid w:val="00FC690E"/>
    <w:rsid w:val="00FC6F69"/>
    <w:rsid w:val="00FD03A0"/>
    <w:rsid w:val="00FD1E34"/>
    <w:rsid w:val="00FD53C3"/>
    <w:rsid w:val="00FD566B"/>
    <w:rsid w:val="00FD5969"/>
    <w:rsid w:val="00FD6D3D"/>
    <w:rsid w:val="00FD7E35"/>
    <w:rsid w:val="00FE1249"/>
    <w:rsid w:val="00FE16FD"/>
    <w:rsid w:val="00FE3528"/>
    <w:rsid w:val="00FE3BB3"/>
    <w:rsid w:val="00FE71E2"/>
    <w:rsid w:val="00FE728E"/>
    <w:rsid w:val="00FF0150"/>
    <w:rsid w:val="00FF0CF5"/>
    <w:rsid w:val="00FF2914"/>
    <w:rsid w:val="00FF6310"/>
    <w:rsid w:val="00FF7913"/>
    <w:rsid w:val="00FF7A94"/>
    <w:rsid w:val="00FF7BE6"/>
    <w:rsid w:val="00FF7EC8"/>
    <w:rsid w:val="04634ECE"/>
    <w:rsid w:val="0C5B3D71"/>
    <w:rsid w:val="106C05F3"/>
    <w:rsid w:val="13B34379"/>
    <w:rsid w:val="13C60006"/>
    <w:rsid w:val="140C385D"/>
    <w:rsid w:val="14FC4254"/>
    <w:rsid w:val="1693313D"/>
    <w:rsid w:val="191E3E54"/>
    <w:rsid w:val="1C307189"/>
    <w:rsid w:val="22322117"/>
    <w:rsid w:val="260403C5"/>
    <w:rsid w:val="2E295FDA"/>
    <w:rsid w:val="2E3332A1"/>
    <w:rsid w:val="2E827BC3"/>
    <w:rsid w:val="393377DC"/>
    <w:rsid w:val="3BB77B6D"/>
    <w:rsid w:val="3CE77505"/>
    <w:rsid w:val="404A2592"/>
    <w:rsid w:val="48B5095E"/>
    <w:rsid w:val="4AD25820"/>
    <w:rsid w:val="4BA13CD0"/>
    <w:rsid w:val="4D5458E2"/>
    <w:rsid w:val="4FF50C70"/>
    <w:rsid w:val="54A3378B"/>
    <w:rsid w:val="5D8304CC"/>
    <w:rsid w:val="611148A3"/>
    <w:rsid w:val="615E3C16"/>
    <w:rsid w:val="64407E81"/>
    <w:rsid w:val="65AC47C6"/>
    <w:rsid w:val="68AA661A"/>
    <w:rsid w:val="694E7871"/>
    <w:rsid w:val="6B8C231D"/>
    <w:rsid w:val="6E8A74AA"/>
    <w:rsid w:val="6F0109E7"/>
    <w:rsid w:val="72876BEC"/>
    <w:rsid w:val="75D02FA9"/>
    <w:rsid w:val="76320999"/>
    <w:rsid w:val="7966653F"/>
    <w:rsid w:val="79682037"/>
    <w:rsid w:val="7EB05131"/>
    <w:rsid w:val="7F370FCB"/>
    <w:rsid w:val="7F9C3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6">
    <w:name w:val="heading 4"/>
    <w:basedOn w:val="1"/>
    <w:next w:val="1"/>
    <w:link w:val="53"/>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7">
    <w:name w:val="heading 5"/>
    <w:basedOn w:val="1"/>
    <w:next w:val="1"/>
    <w:link w:val="86"/>
    <w:qFormat/>
    <w:uiPriority w:val="0"/>
    <w:pPr>
      <w:keepNext/>
      <w:keepLines/>
      <w:tabs>
        <w:tab w:val="left" w:pos="1008"/>
      </w:tabs>
      <w:adjustRightInd w:val="0"/>
      <w:snapToGrid w:val="0"/>
      <w:spacing w:before="280" w:after="290" w:line="376" w:lineRule="auto"/>
      <w:ind w:left="1008" w:hanging="1008"/>
      <w:outlineLvl w:val="4"/>
    </w:pPr>
    <w:rPr>
      <w:rFonts w:ascii="Times New Roman" w:hAnsi="Times New Roman" w:eastAsia="仿宋_GB2312"/>
      <w:b/>
      <w:kern w:val="0"/>
      <w:sz w:val="28"/>
      <w:szCs w:val="20"/>
    </w:rPr>
  </w:style>
  <w:style w:type="paragraph" w:styleId="8">
    <w:name w:val="heading 6"/>
    <w:basedOn w:val="1"/>
    <w:next w:val="1"/>
    <w:link w:val="83"/>
    <w:unhideWhenUsed/>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87"/>
    <w:qFormat/>
    <w:uiPriority w:val="0"/>
    <w:pPr>
      <w:keepNext/>
      <w:tabs>
        <w:tab w:val="left" w:pos="1296"/>
      </w:tabs>
      <w:snapToGrid w:val="0"/>
      <w:spacing w:line="520" w:lineRule="exact"/>
      <w:ind w:left="1296" w:hanging="1296"/>
      <w:outlineLvl w:val="6"/>
    </w:pPr>
    <w:rPr>
      <w:rFonts w:ascii="Arial Unicode MS" w:hAnsi="Arial Unicode MS" w:eastAsia="黑体"/>
      <w:spacing w:val="-20"/>
      <w:sz w:val="24"/>
      <w:szCs w:val="20"/>
    </w:rPr>
  </w:style>
  <w:style w:type="paragraph" w:styleId="10">
    <w:name w:val="heading 8"/>
    <w:basedOn w:val="1"/>
    <w:next w:val="1"/>
    <w:link w:val="88"/>
    <w:qFormat/>
    <w:uiPriority w:val="0"/>
    <w:pPr>
      <w:keepNext/>
      <w:keepLines/>
      <w:tabs>
        <w:tab w:val="left" w:pos="1440"/>
      </w:tabs>
      <w:adjustRightInd w:val="0"/>
      <w:snapToGrid w:val="0"/>
      <w:spacing w:before="240" w:after="64" w:line="320" w:lineRule="atLeast"/>
      <w:ind w:left="1440" w:hanging="1440"/>
      <w:textAlignment w:val="baseline"/>
      <w:outlineLvl w:val="7"/>
    </w:pPr>
    <w:rPr>
      <w:rFonts w:ascii="Arial" w:hAnsi="Arial" w:eastAsia="黑体"/>
      <w:snapToGrid w:val="0"/>
      <w:color w:val="000000"/>
      <w:kern w:val="0"/>
      <w:sz w:val="28"/>
      <w:szCs w:val="20"/>
    </w:rPr>
  </w:style>
  <w:style w:type="paragraph" w:styleId="11">
    <w:name w:val="heading 9"/>
    <w:basedOn w:val="1"/>
    <w:next w:val="1"/>
    <w:link w:val="89"/>
    <w:qFormat/>
    <w:uiPriority w:val="0"/>
    <w:pPr>
      <w:keepNext/>
      <w:keepLines/>
      <w:tabs>
        <w:tab w:val="left" w:pos="1584"/>
      </w:tabs>
      <w:adjustRightInd w:val="0"/>
      <w:snapToGrid w:val="0"/>
      <w:spacing w:before="240" w:after="64" w:line="320" w:lineRule="atLeast"/>
      <w:ind w:left="1584" w:hanging="1584"/>
      <w:textAlignment w:val="baseline"/>
      <w:outlineLvl w:val="8"/>
    </w:pPr>
    <w:rPr>
      <w:rFonts w:ascii="Arial" w:hAnsi="Arial" w:eastAsia="黑体"/>
      <w:snapToGrid w:val="0"/>
      <w:color w:val="000000"/>
      <w:kern w:val="0"/>
      <w:sz w:val="28"/>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eastAsia="仿宋_GB2312"/>
      <w:sz w:val="28"/>
      <w:szCs w:val="24"/>
    </w:rPr>
  </w:style>
  <w:style w:type="paragraph" w:styleId="12">
    <w:name w:val="toc 7"/>
    <w:basedOn w:val="1"/>
    <w:next w:val="1"/>
    <w:qFormat/>
    <w:uiPriority w:val="39"/>
    <w:pPr>
      <w:ind w:left="2520" w:leftChars="1200"/>
    </w:pPr>
    <w:rPr>
      <w:rFonts w:ascii="Times New Roman" w:hAnsi="Times New Roman"/>
      <w:szCs w:val="24"/>
    </w:rPr>
  </w:style>
  <w:style w:type="paragraph" w:styleId="13">
    <w:name w:val="caption"/>
    <w:basedOn w:val="1"/>
    <w:next w:val="1"/>
    <w:link w:val="91"/>
    <w:unhideWhenUsed/>
    <w:qFormat/>
    <w:uiPriority w:val="0"/>
    <w:rPr>
      <w:rFonts w:ascii="Cambria" w:hAnsi="Cambria" w:eastAsia="黑体"/>
      <w:sz w:val="20"/>
      <w:szCs w:val="20"/>
    </w:rPr>
  </w:style>
  <w:style w:type="paragraph" w:styleId="14">
    <w:name w:val="Document Map"/>
    <w:basedOn w:val="1"/>
    <w:link w:val="62"/>
    <w:semiHidden/>
    <w:qFormat/>
    <w:uiPriority w:val="0"/>
    <w:pPr>
      <w:shd w:val="clear" w:color="auto" w:fill="000080"/>
    </w:pPr>
    <w:rPr>
      <w:rFonts w:ascii="Times New Roman" w:hAnsi="Times New Roman"/>
      <w:szCs w:val="24"/>
    </w:rPr>
  </w:style>
  <w:style w:type="paragraph" w:styleId="15">
    <w:name w:val="annotation text"/>
    <w:basedOn w:val="1"/>
    <w:link w:val="71"/>
    <w:qFormat/>
    <w:uiPriority w:val="0"/>
    <w:pPr>
      <w:jc w:val="left"/>
    </w:pPr>
    <w:rPr>
      <w:rFonts w:ascii="Times New Roman" w:hAnsi="Times New Roman"/>
      <w:szCs w:val="24"/>
      <w:lang w:val="zh-CN"/>
    </w:rPr>
  </w:style>
  <w:style w:type="paragraph" w:styleId="16">
    <w:name w:val="Body Text 3"/>
    <w:basedOn w:val="1"/>
    <w:link w:val="56"/>
    <w:qFormat/>
    <w:uiPriority w:val="0"/>
    <w:pPr>
      <w:spacing w:line="360" w:lineRule="auto"/>
      <w:jc w:val="center"/>
    </w:pPr>
    <w:rPr>
      <w:rFonts w:ascii="宋体" w:hAnsi="宋体"/>
      <w:b/>
      <w:bCs/>
      <w:color w:val="FF6600"/>
      <w:sz w:val="48"/>
      <w:szCs w:val="24"/>
    </w:rPr>
  </w:style>
  <w:style w:type="paragraph" w:styleId="17">
    <w:name w:val="Body Text"/>
    <w:basedOn w:val="1"/>
    <w:link w:val="67"/>
    <w:qFormat/>
    <w:uiPriority w:val="0"/>
    <w:pPr>
      <w:ind w:firstLine="560" w:firstLineChars="200"/>
    </w:pPr>
    <w:rPr>
      <w:rFonts w:ascii="Times New Roman" w:hAnsi="Times New Roman" w:eastAsia="仿宋_GB2312"/>
      <w:sz w:val="28"/>
      <w:szCs w:val="20"/>
      <w:lang w:val="zh-CN"/>
    </w:rPr>
  </w:style>
  <w:style w:type="paragraph" w:styleId="18">
    <w:name w:val="Body Text Indent"/>
    <w:basedOn w:val="1"/>
    <w:link w:val="58"/>
    <w:qFormat/>
    <w:uiPriority w:val="0"/>
    <w:pPr>
      <w:ind w:firstLine="560" w:firstLineChars="200"/>
    </w:pPr>
    <w:rPr>
      <w:rFonts w:ascii="仿宋_GB2312" w:hAnsi="Times New Roman" w:eastAsia="仿宋_GB2312"/>
      <w:sz w:val="28"/>
      <w:szCs w:val="24"/>
    </w:rPr>
  </w:style>
  <w:style w:type="paragraph" w:styleId="19">
    <w:name w:val="toc 5"/>
    <w:basedOn w:val="1"/>
    <w:next w:val="1"/>
    <w:qFormat/>
    <w:uiPriority w:val="39"/>
    <w:pPr>
      <w:ind w:left="1680" w:leftChars="800"/>
    </w:pPr>
    <w:rPr>
      <w:rFonts w:ascii="Times New Roman" w:hAnsi="Times New Roman"/>
      <w:szCs w:val="24"/>
    </w:rPr>
  </w:style>
  <w:style w:type="paragraph" w:styleId="20">
    <w:name w:val="toc 3"/>
    <w:basedOn w:val="1"/>
    <w:next w:val="1"/>
    <w:qFormat/>
    <w:uiPriority w:val="39"/>
    <w:pPr>
      <w:ind w:left="840" w:leftChars="400"/>
    </w:pPr>
    <w:rPr>
      <w:rFonts w:ascii="Times New Roman" w:hAnsi="Times New Roman"/>
      <w:szCs w:val="24"/>
    </w:rPr>
  </w:style>
  <w:style w:type="paragraph" w:styleId="21">
    <w:name w:val="Plain Text"/>
    <w:basedOn w:val="1"/>
    <w:link w:val="59"/>
    <w:qFormat/>
    <w:uiPriority w:val="0"/>
    <w:rPr>
      <w:rFonts w:ascii="宋体" w:hAnsi="Courier New"/>
      <w:szCs w:val="20"/>
    </w:rPr>
  </w:style>
  <w:style w:type="paragraph" w:styleId="22">
    <w:name w:val="toc 8"/>
    <w:basedOn w:val="1"/>
    <w:next w:val="1"/>
    <w:qFormat/>
    <w:uiPriority w:val="39"/>
    <w:pPr>
      <w:ind w:left="2940" w:leftChars="1400"/>
    </w:pPr>
    <w:rPr>
      <w:rFonts w:ascii="Times New Roman" w:hAnsi="Times New Roman"/>
      <w:szCs w:val="24"/>
    </w:rPr>
  </w:style>
  <w:style w:type="paragraph" w:styleId="23">
    <w:name w:val="Date"/>
    <w:basedOn w:val="1"/>
    <w:next w:val="1"/>
    <w:link w:val="60"/>
    <w:qFormat/>
    <w:uiPriority w:val="0"/>
    <w:pPr>
      <w:ind w:left="100" w:leftChars="2500"/>
    </w:pPr>
    <w:rPr>
      <w:rFonts w:ascii="Times New Roman" w:hAnsi="Times New Roman"/>
      <w:b/>
      <w:bCs/>
      <w:sz w:val="30"/>
      <w:szCs w:val="24"/>
    </w:rPr>
  </w:style>
  <w:style w:type="paragraph" w:styleId="24">
    <w:name w:val="Body Text Indent 2"/>
    <w:basedOn w:val="1"/>
    <w:link w:val="57"/>
    <w:qFormat/>
    <w:uiPriority w:val="0"/>
    <w:pPr>
      <w:spacing w:line="360" w:lineRule="auto"/>
      <w:ind w:firstLine="420"/>
    </w:pPr>
    <w:rPr>
      <w:rFonts w:ascii="宋体" w:hAnsi="宋体"/>
      <w:b/>
      <w:bCs/>
      <w:i/>
      <w:iCs/>
      <w:color w:val="FF0000"/>
      <w:sz w:val="24"/>
      <w:szCs w:val="24"/>
    </w:rPr>
  </w:style>
  <w:style w:type="paragraph" w:styleId="25">
    <w:name w:val="Balloon Text"/>
    <w:basedOn w:val="1"/>
    <w:link w:val="68"/>
    <w:semiHidden/>
    <w:qFormat/>
    <w:uiPriority w:val="99"/>
    <w:rPr>
      <w:rFonts w:ascii="Times New Roman" w:hAnsi="Times New Roman"/>
      <w:sz w:val="18"/>
      <w:szCs w:val="18"/>
    </w:rPr>
  </w:style>
  <w:style w:type="paragraph" w:styleId="26">
    <w:name w:val="footer"/>
    <w:basedOn w:val="1"/>
    <w:link w:val="55"/>
    <w:unhideWhenUsed/>
    <w:qFormat/>
    <w:uiPriority w:val="99"/>
    <w:pPr>
      <w:tabs>
        <w:tab w:val="center" w:pos="4153"/>
        <w:tab w:val="right" w:pos="8306"/>
      </w:tabs>
      <w:snapToGrid w:val="0"/>
      <w:jc w:val="left"/>
    </w:pPr>
    <w:rPr>
      <w:sz w:val="18"/>
      <w:szCs w:val="18"/>
    </w:rPr>
  </w:style>
  <w:style w:type="paragraph" w:styleId="27">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rFonts w:ascii="Times New Roman" w:hAnsi="Times New Roman"/>
      <w:szCs w:val="24"/>
    </w:rPr>
  </w:style>
  <w:style w:type="paragraph" w:styleId="29">
    <w:name w:val="toc 4"/>
    <w:basedOn w:val="1"/>
    <w:next w:val="1"/>
    <w:qFormat/>
    <w:uiPriority w:val="39"/>
    <w:pPr>
      <w:ind w:left="1260" w:leftChars="600"/>
    </w:pPr>
    <w:rPr>
      <w:rFonts w:ascii="Times New Roman" w:hAnsi="Times New Roman"/>
      <w:szCs w:val="24"/>
    </w:rPr>
  </w:style>
  <w:style w:type="paragraph" w:styleId="30">
    <w:name w:val="footnote text"/>
    <w:basedOn w:val="1"/>
    <w:link w:val="94"/>
    <w:unhideWhenUsed/>
    <w:qFormat/>
    <w:uiPriority w:val="99"/>
    <w:pPr>
      <w:snapToGrid w:val="0"/>
      <w:jc w:val="left"/>
    </w:pPr>
    <w:rPr>
      <w:sz w:val="18"/>
      <w:szCs w:val="18"/>
    </w:rPr>
  </w:style>
  <w:style w:type="paragraph" w:styleId="31">
    <w:name w:val="toc 6"/>
    <w:basedOn w:val="1"/>
    <w:next w:val="1"/>
    <w:qFormat/>
    <w:uiPriority w:val="39"/>
    <w:pPr>
      <w:ind w:left="2100" w:leftChars="1000"/>
    </w:pPr>
    <w:rPr>
      <w:rFonts w:ascii="Times New Roman" w:hAnsi="Times New Roman"/>
      <w:szCs w:val="24"/>
    </w:rPr>
  </w:style>
  <w:style w:type="paragraph" w:styleId="32">
    <w:name w:val="Body Text Indent 3"/>
    <w:basedOn w:val="1"/>
    <w:link w:val="70"/>
    <w:qFormat/>
    <w:uiPriority w:val="0"/>
    <w:pPr>
      <w:ind w:firstLine="480" w:firstLineChars="200"/>
    </w:pPr>
    <w:rPr>
      <w:rFonts w:ascii="Times New Roman" w:hAnsi="Times New Roman" w:eastAsia="华文中宋"/>
      <w:kern w:val="0"/>
      <w:sz w:val="24"/>
      <w:szCs w:val="28"/>
      <w:lang w:val="zh-CN"/>
    </w:rPr>
  </w:style>
  <w:style w:type="paragraph" w:styleId="33">
    <w:name w:val="toc 2"/>
    <w:basedOn w:val="1"/>
    <w:next w:val="1"/>
    <w:qFormat/>
    <w:uiPriority w:val="39"/>
    <w:pPr>
      <w:ind w:left="420" w:leftChars="200"/>
    </w:pPr>
    <w:rPr>
      <w:rFonts w:ascii="Times New Roman" w:hAnsi="Times New Roman"/>
      <w:szCs w:val="24"/>
    </w:rPr>
  </w:style>
  <w:style w:type="paragraph" w:styleId="34">
    <w:name w:val="toc 9"/>
    <w:basedOn w:val="1"/>
    <w:next w:val="1"/>
    <w:qFormat/>
    <w:uiPriority w:val="39"/>
    <w:pPr>
      <w:ind w:left="3360" w:leftChars="1600"/>
    </w:pPr>
    <w:rPr>
      <w:rFonts w:ascii="Times New Roman" w:hAnsi="Times New Roman"/>
      <w:szCs w:val="24"/>
    </w:rPr>
  </w:style>
  <w:style w:type="paragraph" w:styleId="35">
    <w:name w:val="Body Text 2"/>
    <w:basedOn w:val="1"/>
    <w:link w:val="74"/>
    <w:qFormat/>
    <w:uiPriority w:val="0"/>
    <w:pPr>
      <w:spacing w:after="120" w:line="480" w:lineRule="auto"/>
    </w:pPr>
    <w:rPr>
      <w:rFonts w:ascii="Times New Roman" w:hAnsi="Times New Roman"/>
      <w:szCs w:val="24"/>
    </w:rPr>
  </w:style>
  <w:style w:type="paragraph" w:styleId="36">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8">
    <w:name w:val="index 1"/>
    <w:basedOn w:val="1"/>
    <w:next w:val="1"/>
    <w:qFormat/>
    <w:uiPriority w:val="0"/>
    <w:pPr>
      <w:adjustRightInd w:val="0"/>
      <w:spacing w:line="360" w:lineRule="atLeast"/>
      <w:jc w:val="left"/>
      <w:textAlignment w:val="baseline"/>
    </w:pPr>
    <w:rPr>
      <w:rFonts w:ascii="Times New Roman" w:hAnsi="Times New Roman"/>
      <w:kern w:val="0"/>
      <w:sz w:val="24"/>
      <w:szCs w:val="20"/>
    </w:rPr>
  </w:style>
  <w:style w:type="paragraph" w:styleId="39">
    <w:name w:val="annotation subject"/>
    <w:basedOn w:val="15"/>
    <w:next w:val="15"/>
    <w:link w:val="72"/>
    <w:qFormat/>
    <w:uiPriority w:val="0"/>
    <w:rPr>
      <w:b/>
      <w:bCs/>
    </w:rPr>
  </w:style>
  <w:style w:type="paragraph" w:styleId="40">
    <w:name w:val="Body Text First Indent"/>
    <w:basedOn w:val="17"/>
    <w:link w:val="75"/>
    <w:qFormat/>
    <w:uiPriority w:val="0"/>
    <w:pPr>
      <w:widowControl/>
      <w:spacing w:after="120"/>
      <w:ind w:firstLine="420" w:firstLineChars="100"/>
      <w:jc w:val="left"/>
    </w:pPr>
    <w:rPr>
      <w:rFonts w:eastAsia="宋体"/>
      <w:kern w:val="0"/>
      <w:sz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Emphasis"/>
    <w:basedOn w:val="43"/>
    <w:qFormat/>
    <w:uiPriority w:val="20"/>
    <w:rPr>
      <w:i/>
      <w:iCs/>
    </w:rPr>
  </w:style>
  <w:style w:type="character" w:styleId="47">
    <w:name w:val="Hyperlink"/>
    <w:qFormat/>
    <w:uiPriority w:val="99"/>
    <w:rPr>
      <w:rFonts w:hint="default" w:ascii="ˎ̥" w:hAnsi="ˎ̥"/>
      <w:color w:val="000066"/>
      <w:sz w:val="18"/>
      <w:szCs w:val="18"/>
      <w:u w:val="none"/>
    </w:rPr>
  </w:style>
  <w:style w:type="character" w:styleId="48">
    <w:name w:val="annotation reference"/>
    <w:qFormat/>
    <w:uiPriority w:val="0"/>
    <w:rPr>
      <w:sz w:val="21"/>
      <w:szCs w:val="21"/>
    </w:rPr>
  </w:style>
  <w:style w:type="character" w:styleId="49">
    <w:name w:val="footnote reference"/>
    <w:basedOn w:val="43"/>
    <w:unhideWhenUsed/>
    <w:qFormat/>
    <w:uiPriority w:val="99"/>
    <w:rPr>
      <w:vertAlign w:val="superscript"/>
    </w:rPr>
  </w:style>
  <w:style w:type="character" w:customStyle="1" w:styleId="50">
    <w:name w:val="标题 1 Char"/>
    <w:link w:val="3"/>
    <w:qFormat/>
    <w:uiPriority w:val="0"/>
    <w:rPr>
      <w:rFonts w:ascii="Times New Roman" w:hAnsi="Times New Roman"/>
      <w:b/>
      <w:bCs/>
      <w:kern w:val="44"/>
      <w:sz w:val="44"/>
      <w:szCs w:val="44"/>
    </w:rPr>
  </w:style>
  <w:style w:type="character" w:customStyle="1" w:styleId="51">
    <w:name w:val="标题 2 Char"/>
    <w:link w:val="4"/>
    <w:qFormat/>
    <w:uiPriority w:val="0"/>
    <w:rPr>
      <w:rFonts w:ascii="Arial" w:hAnsi="Arial" w:eastAsia="黑体"/>
      <w:b/>
      <w:bCs/>
      <w:kern w:val="2"/>
      <w:sz w:val="32"/>
      <w:szCs w:val="32"/>
    </w:rPr>
  </w:style>
  <w:style w:type="character" w:customStyle="1" w:styleId="52">
    <w:name w:val="标题 3 Char"/>
    <w:link w:val="5"/>
    <w:qFormat/>
    <w:uiPriority w:val="0"/>
    <w:rPr>
      <w:rFonts w:ascii="Times New Roman" w:hAnsi="Times New Roman"/>
      <w:b/>
      <w:bCs/>
      <w:kern w:val="2"/>
      <w:sz w:val="32"/>
      <w:szCs w:val="32"/>
    </w:rPr>
  </w:style>
  <w:style w:type="character" w:customStyle="1" w:styleId="53">
    <w:name w:val="标题 4 Char"/>
    <w:link w:val="6"/>
    <w:qFormat/>
    <w:uiPriority w:val="9"/>
    <w:rPr>
      <w:rFonts w:ascii="Arial" w:hAnsi="Arial" w:eastAsia="黑体"/>
      <w:b/>
      <w:bCs/>
      <w:kern w:val="2"/>
      <w:sz w:val="28"/>
      <w:szCs w:val="28"/>
    </w:rPr>
  </w:style>
  <w:style w:type="character" w:customStyle="1" w:styleId="54">
    <w:name w:val="页眉 Char"/>
    <w:link w:val="27"/>
    <w:qFormat/>
    <w:uiPriority w:val="99"/>
    <w:rPr>
      <w:kern w:val="2"/>
      <w:sz w:val="18"/>
      <w:szCs w:val="18"/>
    </w:rPr>
  </w:style>
  <w:style w:type="character" w:customStyle="1" w:styleId="55">
    <w:name w:val="页脚 Char"/>
    <w:link w:val="26"/>
    <w:qFormat/>
    <w:uiPriority w:val="99"/>
    <w:rPr>
      <w:kern w:val="2"/>
      <w:sz w:val="18"/>
      <w:szCs w:val="18"/>
    </w:rPr>
  </w:style>
  <w:style w:type="character" w:customStyle="1" w:styleId="56">
    <w:name w:val="正文文本 3 Char"/>
    <w:link w:val="16"/>
    <w:qFormat/>
    <w:uiPriority w:val="0"/>
    <w:rPr>
      <w:rFonts w:ascii="宋体" w:hAnsi="宋体"/>
      <w:b/>
      <w:bCs/>
      <w:color w:val="FF6600"/>
      <w:kern w:val="2"/>
      <w:sz w:val="48"/>
      <w:szCs w:val="24"/>
    </w:rPr>
  </w:style>
  <w:style w:type="character" w:customStyle="1" w:styleId="57">
    <w:name w:val="正文文本缩进 2 Char"/>
    <w:link w:val="24"/>
    <w:qFormat/>
    <w:uiPriority w:val="0"/>
    <w:rPr>
      <w:rFonts w:ascii="宋体" w:hAnsi="宋体"/>
      <w:b/>
      <w:bCs/>
      <w:i/>
      <w:iCs/>
      <w:color w:val="FF0000"/>
      <w:kern w:val="2"/>
      <w:sz w:val="24"/>
      <w:szCs w:val="24"/>
    </w:rPr>
  </w:style>
  <w:style w:type="character" w:customStyle="1" w:styleId="58">
    <w:name w:val="正文文本缩进 Char"/>
    <w:link w:val="18"/>
    <w:qFormat/>
    <w:uiPriority w:val="0"/>
    <w:rPr>
      <w:rFonts w:ascii="仿宋_GB2312" w:hAnsi="Times New Roman" w:eastAsia="仿宋_GB2312"/>
      <w:kern w:val="2"/>
      <w:sz w:val="28"/>
      <w:szCs w:val="24"/>
    </w:rPr>
  </w:style>
  <w:style w:type="character" w:customStyle="1" w:styleId="59">
    <w:name w:val="纯文本 Char"/>
    <w:link w:val="21"/>
    <w:qFormat/>
    <w:uiPriority w:val="0"/>
    <w:rPr>
      <w:rFonts w:ascii="宋体" w:hAnsi="Courier New"/>
      <w:kern w:val="2"/>
      <w:sz w:val="21"/>
    </w:rPr>
  </w:style>
  <w:style w:type="character" w:customStyle="1" w:styleId="60">
    <w:name w:val="日期 Char"/>
    <w:link w:val="23"/>
    <w:qFormat/>
    <w:uiPriority w:val="0"/>
    <w:rPr>
      <w:rFonts w:ascii="Times New Roman" w:hAnsi="Times New Roman"/>
      <w:b/>
      <w:bCs/>
      <w:kern w:val="2"/>
      <w:sz w:val="30"/>
      <w:szCs w:val="24"/>
    </w:rPr>
  </w:style>
  <w:style w:type="paragraph" w:customStyle="1" w:styleId="61">
    <w:name w:val="Text"/>
    <w:basedOn w:val="1"/>
    <w:qFormat/>
    <w:uiPriority w:val="0"/>
    <w:pPr>
      <w:widowControl/>
      <w:spacing w:line="360" w:lineRule="auto"/>
      <w:ind w:firstLine="420"/>
      <w:jc w:val="left"/>
    </w:pPr>
    <w:rPr>
      <w:rFonts w:ascii="仿宋_GB2312" w:hAnsi="宋体" w:eastAsia="仿宋_GB2312"/>
      <w:kern w:val="0"/>
      <w:sz w:val="24"/>
      <w:szCs w:val="21"/>
    </w:rPr>
  </w:style>
  <w:style w:type="character" w:customStyle="1" w:styleId="62">
    <w:name w:val="文档结构图 Char"/>
    <w:link w:val="14"/>
    <w:semiHidden/>
    <w:qFormat/>
    <w:uiPriority w:val="0"/>
    <w:rPr>
      <w:rFonts w:ascii="Times New Roman" w:hAnsi="Times New Roman"/>
      <w:kern w:val="2"/>
      <w:sz w:val="21"/>
      <w:szCs w:val="24"/>
      <w:shd w:val="clear" w:color="auto" w:fill="000080"/>
    </w:rPr>
  </w:style>
  <w:style w:type="paragraph" w:customStyle="1" w:styleId="63">
    <w:name w:val="段落正文"/>
    <w:basedOn w:val="1"/>
    <w:qFormat/>
    <w:uiPriority w:val="0"/>
    <w:pPr>
      <w:spacing w:line="360" w:lineRule="auto"/>
      <w:ind w:firstLine="425"/>
    </w:pPr>
    <w:rPr>
      <w:rFonts w:ascii="Times New Roman" w:hAnsi="Times New Roman"/>
      <w:sz w:val="24"/>
      <w:szCs w:val="20"/>
    </w:rPr>
  </w:style>
  <w:style w:type="paragraph" w:customStyle="1" w:styleId="64">
    <w:name w:val="style1"/>
    <w:basedOn w:val="1"/>
    <w:qFormat/>
    <w:uiPriority w:val="0"/>
    <w:pPr>
      <w:widowControl/>
      <w:spacing w:before="100" w:beforeAutospacing="1" w:after="100" w:afterAutospacing="1"/>
      <w:jc w:val="left"/>
    </w:pPr>
    <w:rPr>
      <w:rFonts w:ascii="Arial Unicode MS" w:hAnsi="Arial Unicode MS" w:eastAsia="Arial Unicode MS"/>
      <w:kern w:val="0"/>
      <w:sz w:val="18"/>
      <w:szCs w:val="18"/>
    </w:rPr>
  </w:style>
  <w:style w:type="character" w:customStyle="1" w:styleId="65">
    <w:name w:val="style11"/>
    <w:qFormat/>
    <w:uiPriority w:val="0"/>
    <w:rPr>
      <w:sz w:val="18"/>
      <w:szCs w:val="18"/>
    </w:rPr>
  </w:style>
  <w:style w:type="paragraph" w:customStyle="1" w:styleId="66">
    <w:name w:val="my正文"/>
    <w:basedOn w:val="18"/>
    <w:qFormat/>
    <w:uiPriority w:val="0"/>
    <w:pPr>
      <w:spacing w:line="360" w:lineRule="auto"/>
      <w:ind w:firstLine="540" w:firstLineChars="225"/>
    </w:pPr>
    <w:rPr>
      <w:rFonts w:ascii="宋体" w:hAnsi="宋体" w:eastAsia="宋体"/>
      <w:kern w:val="0"/>
      <w:sz w:val="24"/>
      <w:szCs w:val="20"/>
    </w:rPr>
  </w:style>
  <w:style w:type="character" w:customStyle="1" w:styleId="67">
    <w:name w:val="正文文本 Char"/>
    <w:link w:val="17"/>
    <w:qFormat/>
    <w:uiPriority w:val="0"/>
    <w:rPr>
      <w:rFonts w:ascii="Times New Roman" w:hAnsi="Times New Roman" w:eastAsia="仿宋_GB2312"/>
      <w:kern w:val="2"/>
      <w:sz w:val="28"/>
      <w:lang w:val="zh-CN" w:eastAsia="zh-CN"/>
    </w:rPr>
  </w:style>
  <w:style w:type="character" w:customStyle="1" w:styleId="68">
    <w:name w:val="批注框文本 Char"/>
    <w:link w:val="25"/>
    <w:semiHidden/>
    <w:qFormat/>
    <w:uiPriority w:val="99"/>
    <w:rPr>
      <w:rFonts w:ascii="Times New Roman" w:hAnsi="Times New Roman"/>
      <w:kern w:val="2"/>
      <w:sz w:val="18"/>
      <w:szCs w:val="18"/>
    </w:rPr>
  </w:style>
  <w:style w:type="paragraph" w:customStyle="1" w:styleId="69">
    <w:name w:val="Char Char Char"/>
    <w:basedOn w:val="1"/>
    <w:qFormat/>
    <w:uiPriority w:val="0"/>
    <w:rPr>
      <w:rFonts w:ascii="Times New Roman" w:hAnsi="Times New Roman"/>
      <w:szCs w:val="24"/>
    </w:rPr>
  </w:style>
  <w:style w:type="character" w:customStyle="1" w:styleId="70">
    <w:name w:val="正文文本缩进 3 Char"/>
    <w:link w:val="32"/>
    <w:qFormat/>
    <w:uiPriority w:val="0"/>
    <w:rPr>
      <w:rFonts w:ascii="Times New Roman" w:hAnsi="Times New Roman" w:eastAsia="华文中宋"/>
      <w:sz w:val="24"/>
      <w:szCs w:val="28"/>
      <w:lang w:val="zh-CN"/>
    </w:rPr>
  </w:style>
  <w:style w:type="character" w:customStyle="1" w:styleId="71">
    <w:name w:val="批注文字 Char"/>
    <w:link w:val="15"/>
    <w:qFormat/>
    <w:uiPriority w:val="0"/>
    <w:rPr>
      <w:rFonts w:ascii="Times New Roman" w:hAnsi="Times New Roman"/>
      <w:kern w:val="2"/>
      <w:sz w:val="21"/>
      <w:szCs w:val="24"/>
      <w:lang w:val="zh-CN" w:eastAsia="zh-CN"/>
    </w:rPr>
  </w:style>
  <w:style w:type="character" w:customStyle="1" w:styleId="72">
    <w:name w:val="批注主题 Char"/>
    <w:link w:val="39"/>
    <w:qFormat/>
    <w:uiPriority w:val="0"/>
    <w:rPr>
      <w:rFonts w:ascii="Times New Roman" w:hAnsi="Times New Roman"/>
      <w:b/>
      <w:bCs/>
      <w:kern w:val="2"/>
      <w:sz w:val="21"/>
      <w:szCs w:val="24"/>
      <w:lang w:val="zh-CN" w:eastAsia="zh-CN"/>
    </w:rPr>
  </w:style>
  <w:style w:type="paragraph" w:customStyle="1" w:styleId="73">
    <w:name w:val="Char"/>
    <w:basedOn w:val="1"/>
    <w:qFormat/>
    <w:uiPriority w:val="0"/>
    <w:rPr>
      <w:rFonts w:ascii="Times New Roman" w:hAnsi="Times New Roman"/>
      <w:szCs w:val="24"/>
    </w:rPr>
  </w:style>
  <w:style w:type="character" w:customStyle="1" w:styleId="74">
    <w:name w:val="正文文本 2 Char"/>
    <w:link w:val="35"/>
    <w:qFormat/>
    <w:uiPriority w:val="0"/>
    <w:rPr>
      <w:rFonts w:ascii="Times New Roman" w:hAnsi="Times New Roman"/>
      <w:kern w:val="2"/>
      <w:sz w:val="21"/>
      <w:szCs w:val="24"/>
    </w:rPr>
  </w:style>
  <w:style w:type="character" w:customStyle="1" w:styleId="75">
    <w:name w:val="正文首行缩进 Char"/>
    <w:basedOn w:val="67"/>
    <w:link w:val="40"/>
    <w:qFormat/>
    <w:uiPriority w:val="0"/>
    <w:rPr>
      <w:rFonts w:ascii="Times New Roman" w:hAnsi="Times New Roman" w:eastAsia="仿宋_GB2312"/>
      <w:kern w:val="2"/>
      <w:sz w:val="28"/>
      <w:lang w:val="zh-CN" w:eastAsia="zh-CN"/>
    </w:rPr>
  </w:style>
  <w:style w:type="paragraph" w:customStyle="1" w:styleId="76">
    <w:name w:val="xl33"/>
    <w:basedOn w:val="1"/>
    <w:qFormat/>
    <w:uiPriority w:val="0"/>
    <w:pPr>
      <w:widowControl/>
      <w:pBdr>
        <w:bottom w:val="single" w:color="auto" w:sz="4" w:space="0"/>
      </w:pBdr>
      <w:spacing w:before="100" w:after="100"/>
      <w:jc w:val="center"/>
    </w:pPr>
    <w:rPr>
      <w:rFonts w:ascii="Arial Unicode MS" w:hAnsi="Arial Unicode MS" w:eastAsia="Arial Unicode MS"/>
      <w:kern w:val="0"/>
      <w:sz w:val="24"/>
      <w:szCs w:val="20"/>
    </w:rPr>
  </w:style>
  <w:style w:type="character" w:customStyle="1" w:styleId="77">
    <w:name w:val="textcontents"/>
    <w:qFormat/>
    <w:uiPriority w:val="0"/>
    <w:rPr>
      <w:rFonts w:cs="Times New Roman"/>
    </w:rPr>
  </w:style>
  <w:style w:type="paragraph" w:customStyle="1" w:styleId="78">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9">
    <w:name w:val="内容"/>
    <w:basedOn w:val="1"/>
    <w:link w:val="80"/>
    <w:qFormat/>
    <w:uiPriority w:val="0"/>
    <w:pPr>
      <w:spacing w:line="360" w:lineRule="auto"/>
      <w:ind w:firstLine="200" w:firstLineChars="200"/>
    </w:pPr>
    <w:rPr>
      <w:rFonts w:ascii="Times New Roman" w:hAnsi="Times New Roman"/>
      <w:color w:val="000000"/>
      <w:sz w:val="24"/>
      <w:szCs w:val="20"/>
    </w:rPr>
  </w:style>
  <w:style w:type="character" w:customStyle="1" w:styleId="80">
    <w:name w:val="内容 Char"/>
    <w:link w:val="79"/>
    <w:qFormat/>
    <w:uiPriority w:val="0"/>
    <w:rPr>
      <w:rFonts w:ascii="Times New Roman" w:hAnsi="Times New Roman"/>
      <w:color w:val="000000"/>
      <w:kern w:val="2"/>
      <w:sz w:val="24"/>
    </w:rPr>
  </w:style>
  <w:style w:type="paragraph" w:customStyle="1" w:styleId="81">
    <w:name w:val="我的表题注"/>
    <w:basedOn w:val="13"/>
    <w:next w:val="1"/>
    <w:link w:val="82"/>
    <w:qFormat/>
    <w:uiPriority w:val="0"/>
    <w:pPr>
      <w:adjustRightInd w:val="0"/>
      <w:snapToGrid w:val="0"/>
      <w:spacing w:beforeLines="50" w:afterLines="50" w:line="355" w:lineRule="auto"/>
      <w:ind w:firstLine="200" w:firstLineChars="200"/>
      <w:jc w:val="center"/>
    </w:pPr>
    <w:rPr>
      <w:rFonts w:ascii="Arial" w:hAnsi="Arial"/>
      <w:snapToGrid w:val="0"/>
      <w:kern w:val="0"/>
      <w:sz w:val="24"/>
      <w:szCs w:val="28"/>
      <w:lang w:val="zh-CN"/>
    </w:rPr>
  </w:style>
  <w:style w:type="character" w:customStyle="1" w:styleId="82">
    <w:name w:val="我的表题注 Char"/>
    <w:link w:val="81"/>
    <w:qFormat/>
    <w:uiPriority w:val="0"/>
    <w:rPr>
      <w:rFonts w:ascii="Arial" w:hAnsi="Arial" w:eastAsia="黑体"/>
      <w:snapToGrid w:val="0"/>
      <w:sz w:val="24"/>
      <w:szCs w:val="28"/>
      <w:lang w:val="zh-CN" w:eastAsia="zh-CN"/>
    </w:rPr>
  </w:style>
  <w:style w:type="character" w:customStyle="1" w:styleId="83">
    <w:name w:val="标题 6 Char"/>
    <w:link w:val="8"/>
    <w:qFormat/>
    <w:uiPriority w:val="0"/>
    <w:rPr>
      <w:rFonts w:ascii="Cambria" w:hAnsi="Cambria" w:eastAsia="宋体" w:cs="Times New Roman"/>
      <w:b/>
      <w:bCs/>
      <w:kern w:val="2"/>
      <w:sz w:val="24"/>
      <w:szCs w:val="24"/>
    </w:rPr>
  </w:style>
  <w:style w:type="paragraph" w:customStyle="1" w:styleId="84">
    <w:name w:val="样式 正文缩进 + 首行缩进:  2 字符"/>
    <w:basedOn w:val="2"/>
    <w:link w:val="85"/>
    <w:qFormat/>
    <w:uiPriority w:val="0"/>
    <w:pPr>
      <w:spacing w:line="360" w:lineRule="auto"/>
    </w:pPr>
    <w:rPr>
      <w:rFonts w:eastAsia="宋体"/>
      <w:sz w:val="24"/>
      <w:szCs w:val="20"/>
      <w:lang w:val="zh-CN"/>
    </w:rPr>
  </w:style>
  <w:style w:type="character" w:customStyle="1" w:styleId="85">
    <w:name w:val="样式 正文缩进 + 首行缩进:  2 字符 Char"/>
    <w:link w:val="84"/>
    <w:qFormat/>
    <w:uiPriority w:val="0"/>
    <w:rPr>
      <w:rFonts w:ascii="Times New Roman" w:hAnsi="Times New Roman"/>
      <w:kern w:val="2"/>
      <w:sz w:val="24"/>
      <w:lang w:val="zh-CN" w:eastAsia="zh-CN"/>
    </w:rPr>
  </w:style>
  <w:style w:type="character" w:customStyle="1" w:styleId="86">
    <w:name w:val="标题 5 Char"/>
    <w:link w:val="7"/>
    <w:qFormat/>
    <w:uiPriority w:val="0"/>
    <w:rPr>
      <w:rFonts w:ascii="Times New Roman" w:hAnsi="Times New Roman" w:eastAsia="仿宋_GB2312"/>
      <w:b/>
      <w:sz w:val="28"/>
    </w:rPr>
  </w:style>
  <w:style w:type="character" w:customStyle="1" w:styleId="87">
    <w:name w:val="标题 7 Char"/>
    <w:link w:val="9"/>
    <w:qFormat/>
    <w:uiPriority w:val="0"/>
    <w:rPr>
      <w:rFonts w:ascii="Arial Unicode MS" w:hAnsi="Arial Unicode MS" w:eastAsia="黑体"/>
      <w:spacing w:val="-20"/>
      <w:kern w:val="2"/>
      <w:sz w:val="24"/>
    </w:rPr>
  </w:style>
  <w:style w:type="character" w:customStyle="1" w:styleId="88">
    <w:name w:val="标题 8 Char"/>
    <w:link w:val="10"/>
    <w:qFormat/>
    <w:uiPriority w:val="0"/>
    <w:rPr>
      <w:rFonts w:ascii="Arial" w:hAnsi="Arial" w:eastAsia="黑体"/>
      <w:snapToGrid w:val="0"/>
      <w:color w:val="000000"/>
      <w:sz w:val="28"/>
    </w:rPr>
  </w:style>
  <w:style w:type="character" w:customStyle="1" w:styleId="89">
    <w:name w:val="标题 9 Char"/>
    <w:link w:val="11"/>
    <w:qFormat/>
    <w:uiPriority w:val="0"/>
    <w:rPr>
      <w:rFonts w:ascii="Arial" w:hAnsi="Arial" w:eastAsia="黑体"/>
      <w:snapToGrid w:val="0"/>
      <w:color w:val="000000"/>
      <w:sz w:val="28"/>
    </w:rPr>
  </w:style>
  <w:style w:type="paragraph" w:customStyle="1" w:styleId="90">
    <w:name w:val="列出段落1"/>
    <w:basedOn w:val="1"/>
    <w:qFormat/>
    <w:uiPriority w:val="34"/>
    <w:pPr>
      <w:ind w:firstLine="420" w:firstLineChars="200"/>
    </w:pPr>
  </w:style>
  <w:style w:type="character" w:customStyle="1" w:styleId="91">
    <w:name w:val="题注 Char"/>
    <w:link w:val="13"/>
    <w:qFormat/>
    <w:uiPriority w:val="0"/>
    <w:rPr>
      <w:rFonts w:ascii="Cambria" w:hAnsi="Cambria" w:eastAsia="黑体"/>
      <w:kern w:val="2"/>
    </w:rPr>
  </w:style>
  <w:style w:type="paragraph" w:customStyle="1" w:styleId="92">
    <w:name w:val="我的正文"/>
    <w:basedOn w:val="2"/>
    <w:link w:val="93"/>
    <w:qFormat/>
    <w:uiPriority w:val="0"/>
    <w:pPr>
      <w:spacing w:after="60" w:line="360" w:lineRule="auto"/>
      <w:ind w:firstLine="505" w:firstLineChars="0"/>
    </w:pPr>
    <w:rPr>
      <w:rFonts w:eastAsia="宋体"/>
      <w:sz w:val="24"/>
      <w:szCs w:val="20"/>
    </w:rPr>
  </w:style>
  <w:style w:type="character" w:customStyle="1" w:styleId="93">
    <w:name w:val="我的正文 Char"/>
    <w:link w:val="92"/>
    <w:qFormat/>
    <w:uiPriority w:val="0"/>
    <w:rPr>
      <w:rFonts w:ascii="Times New Roman" w:hAnsi="Times New Roman"/>
      <w:kern w:val="2"/>
      <w:sz w:val="24"/>
    </w:rPr>
  </w:style>
  <w:style w:type="character" w:customStyle="1" w:styleId="94">
    <w:name w:val="脚注文本 Char"/>
    <w:basedOn w:val="43"/>
    <w:link w:val="30"/>
    <w:semiHidden/>
    <w:qFormat/>
    <w:uiPriority w:val="99"/>
    <w:rPr>
      <w:kern w:val="2"/>
      <w:sz w:val="18"/>
      <w:szCs w:val="18"/>
    </w:rPr>
  </w:style>
  <w:style w:type="paragraph" w:customStyle="1" w:styleId="95">
    <w:name w:val="修订1"/>
    <w:hidden/>
    <w:semiHidden/>
    <w:qFormat/>
    <w:uiPriority w:val="99"/>
    <w:rPr>
      <w:rFonts w:ascii="Calibri" w:hAnsi="Calibri" w:eastAsia="宋体" w:cs="Times New Roman"/>
      <w:kern w:val="2"/>
      <w:sz w:val="21"/>
      <w:szCs w:val="22"/>
      <w:lang w:val="en-US" w:eastAsia="zh-CN" w:bidi="ar-SA"/>
    </w:rPr>
  </w:style>
  <w:style w:type="character" w:customStyle="1" w:styleId="96">
    <w:name w:val="HTML 预设格式 Char"/>
    <w:basedOn w:val="43"/>
    <w:link w:val="36"/>
    <w:qFormat/>
    <w:uiPriority w:val="99"/>
    <w:rPr>
      <w:rFonts w:ascii="Arial" w:hAnsi="Arial" w:cs="Arial"/>
      <w:sz w:val="24"/>
      <w:szCs w:val="24"/>
    </w:rPr>
  </w:style>
  <w:style w:type="paragraph" w:styleId="97">
    <w:name w:val="List Paragraph"/>
    <w:basedOn w:val="1"/>
    <w:qFormat/>
    <w:uiPriority w:val="34"/>
    <w:pPr>
      <w:ind w:firstLine="420" w:firstLineChars="200"/>
    </w:pPr>
  </w:style>
  <w:style w:type="paragraph" w:customStyle="1" w:styleId="98">
    <w:name w:val="修订2"/>
    <w:hidden/>
    <w:unhideWhenUsed/>
    <w:qFormat/>
    <w:uiPriority w:val="99"/>
    <w:rPr>
      <w:rFonts w:ascii="Calibri" w:hAnsi="Calibri" w:eastAsia="宋体" w:cs="Times New Roman"/>
      <w:kern w:val="2"/>
      <w:sz w:val="21"/>
      <w:szCs w:val="22"/>
      <w:lang w:val="en-US" w:eastAsia="zh-CN" w:bidi="ar-SA"/>
    </w:rPr>
  </w:style>
  <w:style w:type="paragraph" w:customStyle="1" w:styleId="9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432F8-A4B4-4725-B5A8-A5FDC00CB3E5}">
  <ds:schemaRefs/>
</ds:datastoreItem>
</file>

<file path=docProps/app.xml><?xml version="1.0" encoding="utf-8"?>
<Properties xmlns="http://schemas.openxmlformats.org/officeDocument/2006/extended-properties" xmlns:vt="http://schemas.openxmlformats.org/officeDocument/2006/docPropsVTypes">
  <Template>Normal.dotm</Template>
  <Company>MWR</Company>
  <Pages>65</Pages>
  <Words>5570</Words>
  <Characters>31750</Characters>
  <Lines>264</Lines>
  <Paragraphs>74</Paragraphs>
  <TotalTime>32</TotalTime>
  <ScaleCrop>false</ScaleCrop>
  <LinksUpToDate>false</LinksUpToDate>
  <CharactersWithSpaces>37246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2020-04-10T01:29:00Z</dcterms:created>
  <dc:creator>XIE WENJUN</dc:creator>
  <cp:lastModifiedBy>WH</cp:lastModifiedBy>
  <cp:lastPrinted>2020-06-29T02:03:00Z</cp:lastPrinted>
  <dcterms:modified xsi:type="dcterms:W3CDTF">2020-07-16T08:46:22Z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